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6FB95" w14:textId="466A462B" w:rsidR="00370CD6" w:rsidRPr="00506B07" w:rsidRDefault="00370CD6" w:rsidP="00370CD6">
      <w:pPr>
        <w:spacing w:before="240" w:after="240" w:line="360" w:lineRule="auto"/>
        <w:jc w:val="right"/>
        <w:rPr>
          <w:rFonts w:ascii="Palatino Linotype" w:hAnsi="Palatino Linotype"/>
          <w:b/>
        </w:rPr>
      </w:pPr>
      <w:bookmarkStart w:id="0" w:name="_GoBack"/>
      <w:bookmarkEnd w:id="0"/>
      <w:r>
        <w:rPr>
          <w:rFonts w:ascii="Palatino Linotype" w:hAnsi="Palatino Linotype"/>
          <w:b/>
        </w:rPr>
        <w:t>Metepec, México,</w:t>
      </w:r>
      <w:r w:rsidR="008A4473">
        <w:rPr>
          <w:rFonts w:ascii="Palatino Linotype" w:hAnsi="Palatino Linotype"/>
          <w:b/>
        </w:rPr>
        <w:t xml:space="preserve"> en la sede</w:t>
      </w:r>
      <w:r w:rsidRPr="00506B07">
        <w:rPr>
          <w:rFonts w:ascii="Palatino Linotype" w:hAnsi="Palatino Linotype"/>
          <w:b/>
        </w:rPr>
        <w:t xml:space="preserve"> del INFOEM</w:t>
      </w:r>
    </w:p>
    <w:p w14:paraId="666E62BC" w14:textId="069B6A8A" w:rsidR="00370CD6" w:rsidRPr="00506B07" w:rsidRDefault="008A4473" w:rsidP="00370CD6">
      <w:pPr>
        <w:spacing w:before="240" w:after="240" w:line="360" w:lineRule="auto"/>
        <w:ind w:firstLine="708"/>
        <w:jc w:val="right"/>
        <w:rPr>
          <w:rFonts w:ascii="Palatino Linotype" w:hAnsi="Palatino Linotype"/>
          <w:b/>
        </w:rPr>
      </w:pPr>
      <w:r>
        <w:rPr>
          <w:rFonts w:ascii="Palatino Linotype" w:hAnsi="Palatino Linotype"/>
          <w:b/>
        </w:rPr>
        <w:t>Noviembre 1</w:t>
      </w:r>
      <w:r w:rsidR="0012278D">
        <w:rPr>
          <w:rFonts w:ascii="Palatino Linotype" w:hAnsi="Palatino Linotype"/>
          <w:b/>
        </w:rPr>
        <w:t>2 de 2018</w:t>
      </w:r>
    </w:p>
    <w:p w14:paraId="3015F25B" w14:textId="77777777" w:rsidR="00370CD6" w:rsidRDefault="00370CD6" w:rsidP="00506B07">
      <w:pPr>
        <w:spacing w:before="240" w:after="240" w:line="360" w:lineRule="auto"/>
        <w:jc w:val="both"/>
        <w:rPr>
          <w:rFonts w:ascii="Palatino Linotype" w:hAnsi="Palatino Linotype"/>
          <w:b/>
        </w:rPr>
      </w:pPr>
    </w:p>
    <w:p w14:paraId="2A682B97" w14:textId="426CE016" w:rsidR="00F42A73" w:rsidRPr="00506B07" w:rsidRDefault="001928EC" w:rsidP="00506B07">
      <w:pPr>
        <w:spacing w:before="240" w:after="240" w:line="360" w:lineRule="auto"/>
        <w:jc w:val="both"/>
        <w:rPr>
          <w:rFonts w:ascii="Palatino Linotype" w:hAnsi="Palatino Linotype"/>
          <w:b/>
        </w:rPr>
      </w:pPr>
      <w:r>
        <w:rPr>
          <w:rFonts w:ascii="Palatino Linotype" w:hAnsi="Palatino Linotype"/>
          <w:b/>
        </w:rPr>
        <w:t xml:space="preserve">VOTO </w:t>
      </w:r>
      <w:r w:rsidR="00F42A73" w:rsidRPr="00506B07">
        <w:rPr>
          <w:rFonts w:ascii="Palatino Linotype" w:hAnsi="Palatino Linotype"/>
          <w:b/>
        </w:rPr>
        <w:t xml:space="preserve">PARTICULAR </w:t>
      </w:r>
      <w:r w:rsidR="005F58B1">
        <w:rPr>
          <w:rFonts w:ascii="Palatino Linotype" w:hAnsi="Palatino Linotype"/>
          <w:b/>
        </w:rPr>
        <w:t xml:space="preserve">QUE </w:t>
      </w:r>
      <w:r w:rsidR="00E7360F">
        <w:rPr>
          <w:rFonts w:ascii="Palatino Linotype" w:hAnsi="Palatino Linotype"/>
          <w:b/>
        </w:rPr>
        <w:t xml:space="preserve">FORMULA </w:t>
      </w:r>
      <w:r w:rsidR="005F58B1">
        <w:rPr>
          <w:rFonts w:ascii="Palatino Linotype" w:hAnsi="Palatino Linotype"/>
          <w:b/>
        </w:rPr>
        <w:t>EL COMISIONADO</w:t>
      </w:r>
      <w:r w:rsidR="00C55313">
        <w:rPr>
          <w:rFonts w:ascii="Palatino Linotype" w:hAnsi="Palatino Linotype"/>
          <w:b/>
        </w:rPr>
        <w:t xml:space="preserve"> JAVIER MARTÍNEZ CRUZ, </w:t>
      </w:r>
      <w:r w:rsidR="0036720F">
        <w:rPr>
          <w:rFonts w:ascii="Palatino Linotype" w:hAnsi="Palatino Linotype"/>
          <w:b/>
        </w:rPr>
        <w:t>EN RELACIÓN CON LA RESOLUCIÓ</w:t>
      </w:r>
      <w:r w:rsidR="00C55313">
        <w:rPr>
          <w:rFonts w:ascii="Palatino Linotype" w:hAnsi="Palatino Linotype"/>
          <w:b/>
        </w:rPr>
        <w:t>N DICTADA POR EL</w:t>
      </w:r>
      <w:r w:rsidR="0036720F">
        <w:rPr>
          <w:rFonts w:ascii="Palatino Linotype" w:hAnsi="Palatino Linotype"/>
          <w:b/>
        </w:rPr>
        <w:t xml:space="preserve"> PLENO DE ESTE INSTITUTO DE TRA</w:t>
      </w:r>
      <w:r w:rsidR="00C55313">
        <w:rPr>
          <w:rFonts w:ascii="Palatino Linotype" w:hAnsi="Palatino Linotype"/>
          <w:b/>
        </w:rPr>
        <w:t>N</w:t>
      </w:r>
      <w:r w:rsidR="0036720F">
        <w:rPr>
          <w:rFonts w:ascii="Palatino Linotype" w:hAnsi="Palatino Linotype"/>
          <w:b/>
        </w:rPr>
        <w:t>S</w:t>
      </w:r>
      <w:r w:rsidR="00FC21AA">
        <w:rPr>
          <w:rFonts w:ascii="Palatino Linotype" w:hAnsi="Palatino Linotype"/>
          <w:b/>
        </w:rPr>
        <w:t>PARENCIA, ACCESO A LA INFORMACIÓ</w:t>
      </w:r>
      <w:r w:rsidR="00C55313">
        <w:rPr>
          <w:rFonts w:ascii="Palatino Linotype" w:hAnsi="Palatino Linotype"/>
          <w:b/>
        </w:rPr>
        <w:t xml:space="preserve">N PÚBLICA Y PROTECCIÓN DE DATOS PERSONALES DEL ESTADO DE MÉXICO Y MUNICIPIOS, EN LA </w:t>
      </w:r>
      <w:r w:rsidR="008A4473">
        <w:rPr>
          <w:rFonts w:ascii="Palatino Linotype" w:hAnsi="Palatino Linotype"/>
          <w:b/>
        </w:rPr>
        <w:t>CUADRAGÉSIMA PRIMERA</w:t>
      </w:r>
      <w:r w:rsidR="00C85AB0">
        <w:rPr>
          <w:rFonts w:ascii="Palatino Linotype" w:hAnsi="Palatino Linotype"/>
          <w:b/>
        </w:rPr>
        <w:t xml:space="preserve"> </w:t>
      </w:r>
      <w:r w:rsidR="00C55313">
        <w:rPr>
          <w:rFonts w:ascii="Palatino Linotype" w:hAnsi="Palatino Linotype"/>
          <w:b/>
        </w:rPr>
        <w:t xml:space="preserve">SESIÓN ORDINARIA DE FECHA </w:t>
      </w:r>
      <w:r w:rsidR="008A4473">
        <w:rPr>
          <w:rFonts w:ascii="Palatino Linotype" w:hAnsi="Palatino Linotype"/>
          <w:b/>
        </w:rPr>
        <w:t>SIETE DE NOVIEMBRE</w:t>
      </w:r>
      <w:r w:rsidR="00267C5C">
        <w:rPr>
          <w:rFonts w:ascii="Palatino Linotype" w:hAnsi="Palatino Linotype"/>
          <w:b/>
        </w:rPr>
        <w:t xml:space="preserve"> </w:t>
      </w:r>
      <w:r w:rsidR="00FB3715">
        <w:rPr>
          <w:rFonts w:ascii="Palatino Linotype" w:hAnsi="Palatino Linotype"/>
          <w:b/>
        </w:rPr>
        <w:t>DE DOS MIL DIECIOCHO</w:t>
      </w:r>
      <w:r w:rsidR="00C55313">
        <w:rPr>
          <w:rFonts w:ascii="Palatino Linotype" w:hAnsi="Palatino Linotype"/>
          <w:b/>
        </w:rPr>
        <w:t xml:space="preserve">, EN </w:t>
      </w:r>
      <w:r w:rsidR="00DC3BDE">
        <w:rPr>
          <w:rFonts w:ascii="Palatino Linotype" w:hAnsi="Palatino Linotype"/>
          <w:b/>
        </w:rPr>
        <w:t>EL</w:t>
      </w:r>
      <w:r w:rsidR="00C55313">
        <w:rPr>
          <w:rFonts w:ascii="Palatino Linotype" w:hAnsi="Palatino Linotype"/>
          <w:b/>
        </w:rPr>
        <w:t xml:space="preserve"> RECU</w:t>
      </w:r>
      <w:r w:rsidR="00F42A73" w:rsidRPr="00506B07">
        <w:rPr>
          <w:rFonts w:ascii="Palatino Linotype" w:hAnsi="Palatino Linotype"/>
          <w:b/>
        </w:rPr>
        <w:t xml:space="preserve">RSO DE REVISIÓN </w:t>
      </w:r>
      <w:r w:rsidR="00246378">
        <w:rPr>
          <w:rFonts w:ascii="Palatino Linotype" w:hAnsi="Palatino Linotype" w:cs="Arial"/>
          <w:b/>
          <w:bCs/>
          <w:lang w:eastAsia="es-MX"/>
        </w:rPr>
        <w:t>0</w:t>
      </w:r>
      <w:r w:rsidR="008A4473">
        <w:rPr>
          <w:rFonts w:ascii="Palatino Linotype" w:hAnsi="Palatino Linotype" w:cs="Arial"/>
          <w:b/>
          <w:bCs/>
          <w:lang w:eastAsia="es-MX"/>
        </w:rPr>
        <w:t>3322</w:t>
      </w:r>
      <w:r w:rsidR="00FB3715">
        <w:rPr>
          <w:rFonts w:ascii="Palatino Linotype" w:hAnsi="Palatino Linotype" w:cs="Arial"/>
          <w:b/>
          <w:bCs/>
          <w:lang w:eastAsia="es-MX"/>
        </w:rPr>
        <w:t>/INFOEM/IP/RR/2018 y ACUMULADOS.</w:t>
      </w:r>
    </w:p>
    <w:p w14:paraId="75421343" w14:textId="349E2364" w:rsidR="008A4473" w:rsidRDefault="008A4473" w:rsidP="008A4473">
      <w:pPr>
        <w:spacing w:before="240" w:after="240" w:line="360" w:lineRule="auto"/>
        <w:jc w:val="both"/>
        <w:rPr>
          <w:rFonts w:ascii="Palatino Linotype" w:hAnsi="Palatino Linotype"/>
          <w:lang w:val="es-MX"/>
        </w:rPr>
      </w:pPr>
      <w:r>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cs="Arial"/>
          <w:bCs/>
          <w:lang w:eastAsia="es-MX"/>
        </w:rPr>
        <w:t xml:space="preserve">03322/INFOEM/IP/RR/2018 y acumulados </w:t>
      </w:r>
      <w:r>
        <w:rPr>
          <w:rFonts w:ascii="Palatino Linotype" w:hAnsi="Palatino Linotype"/>
        </w:rPr>
        <w:t xml:space="preserve">presentada por la Comisionada Eva </w:t>
      </w:r>
      <w:proofErr w:type="spellStart"/>
      <w:r>
        <w:rPr>
          <w:rFonts w:ascii="Palatino Linotype" w:hAnsi="Palatino Linotype"/>
        </w:rPr>
        <w:t>Abaid</w:t>
      </w:r>
      <w:proofErr w:type="spellEnd"/>
      <w:r>
        <w:rPr>
          <w:rFonts w:ascii="Palatino Linotype" w:hAnsi="Palatino Linotype"/>
        </w:rPr>
        <w:t xml:space="preserve"> </w:t>
      </w:r>
      <w:proofErr w:type="spellStart"/>
      <w:r>
        <w:rPr>
          <w:rFonts w:ascii="Palatino Linotype" w:hAnsi="Palatino Linotype"/>
        </w:rPr>
        <w:t>Yapur</w:t>
      </w:r>
      <w:proofErr w:type="spellEnd"/>
      <w:r>
        <w:rPr>
          <w:rFonts w:ascii="Palatino Linotype" w:hAnsi="Palatino Linotype"/>
        </w:rPr>
        <w:t xml:space="preserve">, respecto de la cual, el Comisionado Javier Martínez Cruz, formula </w:t>
      </w:r>
      <w:r>
        <w:rPr>
          <w:rFonts w:ascii="Palatino Linotype" w:hAnsi="Palatino Linotype"/>
          <w:b/>
        </w:rPr>
        <w:t>VOTO PARTICULAR</w:t>
      </w:r>
      <w:r>
        <w:rPr>
          <w:rFonts w:ascii="Palatino Linotype" w:hAnsi="Palatino Linotype"/>
        </w:rPr>
        <w:t>, con fundamento en el artículo 14 fracciones X y XI del Reglamento del Instituto de Transparencia, Acceso a la Información Pública y Protección de Personales Datos del Estado de México.</w:t>
      </w:r>
    </w:p>
    <w:p w14:paraId="019DCAD8" w14:textId="7C5BC575" w:rsidR="00F3621D" w:rsidRDefault="006232F2" w:rsidP="00910E6C">
      <w:pPr>
        <w:spacing w:before="240" w:line="360" w:lineRule="auto"/>
        <w:contextualSpacing/>
        <w:jc w:val="both"/>
        <w:rPr>
          <w:rFonts w:ascii="Palatino Linotype" w:hAnsi="Palatino Linotype"/>
          <w:color w:val="222222"/>
          <w:szCs w:val="17"/>
          <w:lang w:eastAsia="es-ES_tradnl"/>
        </w:rPr>
      </w:pPr>
      <w:r>
        <w:rPr>
          <w:rFonts w:ascii="Palatino Linotype" w:hAnsi="Palatino Linotype"/>
        </w:rPr>
        <w:t xml:space="preserve">En la sesión del </w:t>
      </w:r>
      <w:r w:rsidR="008A4473">
        <w:rPr>
          <w:rFonts w:ascii="Palatino Linotype" w:hAnsi="Palatino Linotype"/>
        </w:rPr>
        <w:t>siete de noviembre</w:t>
      </w:r>
      <w:r>
        <w:rPr>
          <w:rFonts w:ascii="Palatino Linotype" w:hAnsi="Palatino Linotype"/>
        </w:rPr>
        <w:t xml:space="preserve"> del presente año, </w:t>
      </w:r>
      <w:r w:rsidR="0088262E">
        <w:rPr>
          <w:rFonts w:ascii="Palatino Linotype" w:hAnsi="Palatino Linotype"/>
        </w:rPr>
        <w:t xml:space="preserve">los integrantes del Pleno de este Instituto aprobaron </w:t>
      </w:r>
      <w:r w:rsidR="008A4473">
        <w:rPr>
          <w:rFonts w:ascii="Palatino Linotype" w:hAnsi="Palatino Linotype" w:cs="Arial"/>
          <w:b/>
          <w:bCs/>
        </w:rPr>
        <w:t>REVOCAR</w:t>
      </w:r>
      <w:r w:rsidR="00910E6C">
        <w:rPr>
          <w:rFonts w:ascii="Palatino Linotype" w:hAnsi="Palatino Linotype" w:cs="Arial"/>
          <w:bCs/>
        </w:rPr>
        <w:t xml:space="preserve"> </w:t>
      </w:r>
      <w:r w:rsidR="00DC3BDE">
        <w:rPr>
          <w:rFonts w:ascii="Palatino Linotype" w:hAnsi="Palatino Linotype" w:cs="Arial"/>
          <w:bCs/>
        </w:rPr>
        <w:t>el</w:t>
      </w:r>
      <w:r w:rsidR="00910E6C">
        <w:rPr>
          <w:rFonts w:ascii="Palatino Linotype" w:hAnsi="Palatino Linotype" w:cs="Arial"/>
          <w:bCs/>
        </w:rPr>
        <w:t xml:space="preserve"> recurso</w:t>
      </w:r>
      <w:r w:rsidR="00910E6C" w:rsidRPr="00A053B5">
        <w:rPr>
          <w:rFonts w:ascii="Palatino Linotype" w:hAnsi="Palatino Linotype" w:cs="Arial"/>
          <w:bCs/>
        </w:rPr>
        <w:t xml:space="preserve"> </w:t>
      </w:r>
      <w:r w:rsidR="00910E6C">
        <w:rPr>
          <w:rFonts w:ascii="Palatino Linotype" w:hAnsi="Palatino Linotype" w:cs="Arial"/>
          <w:bCs/>
        </w:rPr>
        <w:t xml:space="preserve">de revisión número </w:t>
      </w:r>
      <w:r w:rsidR="00910E6C" w:rsidRPr="0012278D">
        <w:rPr>
          <w:rFonts w:ascii="Palatino Linotype" w:hAnsi="Palatino Linotype" w:cs="Arial"/>
          <w:b/>
          <w:bCs/>
        </w:rPr>
        <w:t>0</w:t>
      </w:r>
      <w:r w:rsidR="008A4473" w:rsidRPr="0012278D">
        <w:rPr>
          <w:rFonts w:ascii="Palatino Linotype" w:hAnsi="Palatino Linotype" w:cs="Arial"/>
          <w:b/>
          <w:bCs/>
        </w:rPr>
        <w:t>3322</w:t>
      </w:r>
      <w:r w:rsidR="007B68E6" w:rsidRPr="0012278D">
        <w:rPr>
          <w:rFonts w:ascii="Palatino Linotype" w:hAnsi="Palatino Linotype" w:cs="Arial"/>
          <w:b/>
          <w:bCs/>
        </w:rPr>
        <w:t>/</w:t>
      </w:r>
      <w:r w:rsidR="00FB3715">
        <w:rPr>
          <w:rFonts w:ascii="Palatino Linotype" w:hAnsi="Palatino Linotype" w:cs="Arial"/>
          <w:b/>
          <w:bCs/>
        </w:rPr>
        <w:t>INFOEM/IP/RR/2018</w:t>
      </w:r>
      <w:r w:rsidR="008A4473" w:rsidRPr="0012278D">
        <w:rPr>
          <w:rFonts w:ascii="Palatino Linotype" w:hAnsi="Palatino Linotype" w:cs="Arial"/>
          <w:b/>
          <w:bCs/>
        </w:rPr>
        <w:t xml:space="preserve"> y </w:t>
      </w:r>
      <w:r w:rsidR="008A4473" w:rsidRPr="0012278D">
        <w:rPr>
          <w:rFonts w:ascii="Palatino Linotype" w:hAnsi="Palatino Linotype" w:cs="Arial"/>
          <w:b/>
          <w:bCs/>
        </w:rPr>
        <w:lastRenderedPageBreak/>
        <w:t>acumulados</w:t>
      </w:r>
      <w:r w:rsidR="00DC3BDE">
        <w:rPr>
          <w:rFonts w:ascii="Palatino Linotype" w:hAnsi="Palatino Linotype" w:cs="Arial"/>
          <w:b/>
          <w:bCs/>
          <w:spacing w:val="-20"/>
          <w:lang w:val="es-MX"/>
        </w:rPr>
        <w:t>,</w:t>
      </w:r>
      <w:r w:rsidR="00910E6C">
        <w:rPr>
          <w:rFonts w:ascii="Palatino Linotype" w:hAnsi="Palatino Linotype" w:cs="Arial"/>
          <w:bCs/>
          <w:lang w:val="es-MX"/>
        </w:rPr>
        <w:t xml:space="preserve"> sentido que comparto en lo general, sin embargo, </w:t>
      </w:r>
      <w:r w:rsidR="00F3621D">
        <w:rPr>
          <w:rFonts w:ascii="Palatino Linotype" w:hAnsi="Palatino Linotype" w:cs="Arial"/>
          <w:bCs/>
          <w:lang w:val="es-MX"/>
        </w:rPr>
        <w:t xml:space="preserve">considero que </w:t>
      </w:r>
      <w:r w:rsidR="00264F22">
        <w:rPr>
          <w:rFonts w:ascii="Palatino Linotype" w:hAnsi="Palatino Linotype" w:cs="Arial"/>
          <w:bCs/>
          <w:lang w:val="es-MX"/>
        </w:rPr>
        <w:t xml:space="preserve">en </w:t>
      </w:r>
      <w:r w:rsidR="00F3621D">
        <w:rPr>
          <w:rFonts w:ascii="Palatino Linotype" w:hAnsi="Palatino Linotype" w:cs="Arial"/>
          <w:bCs/>
          <w:lang w:val="es-MX"/>
        </w:rPr>
        <w:t xml:space="preserve">el resolutivo </w:t>
      </w:r>
      <w:r w:rsidR="00C013A8">
        <w:rPr>
          <w:rFonts w:ascii="Palatino Linotype" w:hAnsi="Palatino Linotype" w:cs="Arial"/>
          <w:bCs/>
          <w:lang w:val="es-MX"/>
        </w:rPr>
        <w:t>QUINTO</w:t>
      </w:r>
      <w:r w:rsidR="00F3621D">
        <w:rPr>
          <w:rFonts w:ascii="Palatino Linotype" w:hAnsi="Palatino Linotype" w:cs="Arial"/>
          <w:bCs/>
          <w:lang w:val="es-MX"/>
        </w:rPr>
        <w:t xml:space="preserve"> </w:t>
      </w:r>
      <w:r w:rsidR="00F3621D">
        <w:rPr>
          <w:rFonts w:ascii="Palatino Linotype" w:hAnsi="Palatino Linotype"/>
          <w:color w:val="222222"/>
          <w:szCs w:val="17"/>
          <w:lang w:eastAsia="es-ES_tradnl"/>
        </w:rPr>
        <w:t>se omitió</w:t>
      </w:r>
      <w:r w:rsidR="00495B67">
        <w:rPr>
          <w:rFonts w:ascii="Palatino Linotype" w:hAnsi="Palatino Linotype"/>
          <w:color w:val="222222"/>
          <w:szCs w:val="17"/>
          <w:lang w:eastAsia="es-ES_tradnl"/>
        </w:rPr>
        <w:t xml:space="preserve"> fundamentar en lo previsto por el artículo 196</w:t>
      </w:r>
      <w:r w:rsidR="00891156">
        <w:rPr>
          <w:rStyle w:val="Refdenotaalpie"/>
          <w:rFonts w:ascii="Palatino Linotype" w:hAnsi="Palatino Linotype"/>
          <w:color w:val="222222"/>
          <w:szCs w:val="17"/>
          <w:lang w:eastAsia="es-ES_tradnl"/>
        </w:rPr>
        <w:footnoteReference w:id="1"/>
      </w:r>
      <w:r w:rsidR="00495B67">
        <w:rPr>
          <w:rFonts w:ascii="Palatino Linotype" w:hAnsi="Palatino Linotype"/>
          <w:color w:val="222222"/>
          <w:szCs w:val="17"/>
          <w:lang w:eastAsia="es-ES_tradnl"/>
        </w:rPr>
        <w:t xml:space="preserve"> de la </w:t>
      </w:r>
      <w:r w:rsidR="00495B67" w:rsidRPr="00C1696D">
        <w:rPr>
          <w:rFonts w:ascii="Palatino Linotype" w:hAnsi="Palatino Linotype" w:cs="Arial"/>
        </w:rPr>
        <w:t xml:space="preserve">Ley de Transparencia y Acceso a la Información Pública del Estado de México y Municipios </w:t>
      </w:r>
      <w:r w:rsidR="00495B67">
        <w:rPr>
          <w:rFonts w:ascii="Palatino Linotype" w:hAnsi="Palatino Linotype"/>
          <w:color w:val="222222"/>
          <w:szCs w:val="17"/>
          <w:lang w:eastAsia="es-ES_tradnl"/>
        </w:rPr>
        <w:t xml:space="preserve">y los </w:t>
      </w:r>
      <w:r w:rsidR="00F3621D">
        <w:rPr>
          <w:rFonts w:ascii="Palatino Linotype" w:hAnsi="Palatino Linotype"/>
          <w:color w:val="222222"/>
          <w:szCs w:val="17"/>
          <w:lang w:eastAsia="es-ES_tradnl"/>
        </w:rPr>
        <w:t>artículo</w:t>
      </w:r>
      <w:r w:rsidR="00264F22">
        <w:rPr>
          <w:rFonts w:ascii="Palatino Linotype" w:hAnsi="Palatino Linotype"/>
          <w:color w:val="222222"/>
          <w:szCs w:val="17"/>
          <w:lang w:eastAsia="es-ES_tradnl"/>
        </w:rPr>
        <w:t>s</w:t>
      </w:r>
      <w:r w:rsidR="00F3621D">
        <w:rPr>
          <w:rFonts w:ascii="Palatino Linotype" w:hAnsi="Palatino Linotype"/>
          <w:color w:val="222222"/>
          <w:szCs w:val="17"/>
          <w:lang w:eastAsia="es-ES_tradnl"/>
        </w:rPr>
        <w:t xml:space="preserve"> 159</w:t>
      </w:r>
      <w:r w:rsidR="00264F22">
        <w:rPr>
          <w:rFonts w:ascii="Palatino Linotype" w:hAnsi="Palatino Linotype"/>
          <w:color w:val="222222"/>
          <w:szCs w:val="17"/>
          <w:lang w:eastAsia="es-ES_tradnl"/>
        </w:rPr>
        <w:t xml:space="preserve"> y</w:t>
      </w:r>
      <w:r w:rsidR="00DC3BDE">
        <w:rPr>
          <w:rFonts w:ascii="Palatino Linotype" w:hAnsi="Palatino Linotype"/>
          <w:color w:val="222222"/>
          <w:szCs w:val="17"/>
          <w:lang w:eastAsia="es-ES_tradnl"/>
        </w:rPr>
        <w:t xml:space="preserve"> </w:t>
      </w:r>
      <w:r w:rsidR="00264F22">
        <w:rPr>
          <w:rFonts w:ascii="Palatino Linotype" w:hAnsi="Palatino Linotype"/>
          <w:color w:val="222222"/>
          <w:szCs w:val="17"/>
          <w:lang w:eastAsia="es-ES_tradnl"/>
        </w:rPr>
        <w:t>160</w:t>
      </w:r>
      <w:r w:rsidR="00F3621D">
        <w:rPr>
          <w:rFonts w:ascii="Palatino Linotype" w:hAnsi="Palatino Linotype"/>
          <w:color w:val="222222"/>
          <w:szCs w:val="17"/>
          <w:lang w:eastAsia="es-ES_tradnl"/>
        </w:rPr>
        <w:t xml:space="preserve"> de la Ley General de Transparencia y A</w:t>
      </w:r>
      <w:r w:rsidR="00DC3BDE">
        <w:rPr>
          <w:rFonts w:ascii="Palatino Linotype" w:hAnsi="Palatino Linotype"/>
          <w:color w:val="222222"/>
          <w:szCs w:val="17"/>
          <w:lang w:eastAsia="es-ES_tradnl"/>
        </w:rPr>
        <w:t>cceso a la Información Pública.</w:t>
      </w:r>
    </w:p>
    <w:p w14:paraId="6B959D35" w14:textId="0952C3EA" w:rsidR="002D1549" w:rsidRDefault="00DC3BDE" w:rsidP="00DC3BDE">
      <w:pPr>
        <w:spacing w:before="240" w:after="240" w:line="360" w:lineRule="auto"/>
        <w:jc w:val="both"/>
        <w:rPr>
          <w:rFonts w:ascii="Palatino Linotype" w:hAnsi="Palatino Linotype"/>
          <w:color w:val="222222"/>
          <w:szCs w:val="17"/>
          <w:lang w:eastAsia="es-ES_tradnl"/>
        </w:rPr>
      </w:pPr>
      <w:r>
        <w:rPr>
          <w:rFonts w:ascii="Palatino Linotype" w:hAnsi="Palatino Linotype"/>
          <w:color w:val="222222"/>
          <w:szCs w:val="17"/>
          <w:lang w:eastAsia="es-ES_tradnl"/>
        </w:rPr>
        <w:t>E</w:t>
      </w:r>
      <w:r w:rsidR="00F3621D">
        <w:rPr>
          <w:rFonts w:ascii="Palatino Linotype" w:hAnsi="Palatino Linotype"/>
          <w:color w:val="222222"/>
          <w:szCs w:val="17"/>
          <w:lang w:eastAsia="es-ES_tradnl"/>
        </w:rPr>
        <w:t xml:space="preserve">n mi opinión se le </w:t>
      </w:r>
      <w:r w:rsidR="002D1549">
        <w:rPr>
          <w:rFonts w:ascii="Palatino Linotype" w:hAnsi="Palatino Linotype"/>
          <w:color w:val="222222"/>
          <w:szCs w:val="17"/>
          <w:lang w:eastAsia="es-ES_tradnl"/>
        </w:rPr>
        <w:t>debió</w:t>
      </w:r>
      <w:r w:rsidR="00F3621D">
        <w:rPr>
          <w:rFonts w:ascii="Palatino Linotype" w:hAnsi="Palatino Linotype"/>
          <w:color w:val="222222"/>
          <w:szCs w:val="17"/>
          <w:lang w:eastAsia="es-ES_tradnl"/>
        </w:rPr>
        <w:t xml:space="preserve"> </w:t>
      </w:r>
      <w:r w:rsidR="002D1549">
        <w:rPr>
          <w:rFonts w:ascii="Palatino Linotype" w:hAnsi="Palatino Linotype"/>
          <w:color w:val="222222"/>
          <w:szCs w:val="17"/>
          <w:lang w:eastAsia="es-ES_tradnl"/>
        </w:rPr>
        <w:t>notificar al particular que podía</w:t>
      </w:r>
      <w:r w:rsidR="00F3621D">
        <w:rPr>
          <w:rFonts w:ascii="Palatino Linotype" w:hAnsi="Palatino Linotype"/>
          <w:color w:val="222222"/>
          <w:szCs w:val="17"/>
          <w:lang w:eastAsia="es-ES_tradnl"/>
        </w:rPr>
        <w:t xml:space="preserve"> </w:t>
      </w:r>
      <w:r w:rsidR="00F3621D" w:rsidRPr="00207478">
        <w:rPr>
          <w:rFonts w:ascii="Palatino Linotype" w:hAnsi="Palatino Linotype"/>
        </w:rPr>
        <w:t>impugnar</w:t>
      </w:r>
      <w:r>
        <w:rPr>
          <w:rFonts w:ascii="Palatino Linotype" w:hAnsi="Palatino Linotype"/>
        </w:rPr>
        <w:t xml:space="preserve"> la resolución</w:t>
      </w:r>
      <w:r w:rsidR="00F3621D" w:rsidRPr="00207478">
        <w:rPr>
          <w:rFonts w:ascii="Palatino Linotype" w:hAnsi="Palatino Linotype"/>
        </w:rPr>
        <w:t xml:space="preserve"> vía recurso de inconfor</w:t>
      </w:r>
      <w:r w:rsidR="002A353B">
        <w:rPr>
          <w:rFonts w:ascii="Palatino Linotype" w:hAnsi="Palatino Linotype"/>
        </w:rPr>
        <w:t>midad ante el Instituto Nacional</w:t>
      </w:r>
      <w:r w:rsidR="00F3621D" w:rsidRPr="00207478">
        <w:rPr>
          <w:rFonts w:ascii="Palatino Linotype" w:hAnsi="Palatino Linotype"/>
        </w:rPr>
        <w:t xml:space="preserve"> de Transparencia, Acceso a la Información y Protección de Datos Personales</w:t>
      </w:r>
      <w:r w:rsidR="00F3621D">
        <w:rPr>
          <w:rFonts w:ascii="Palatino Linotype" w:hAnsi="Palatino Linotype"/>
          <w:color w:val="222222"/>
          <w:szCs w:val="17"/>
          <w:lang w:eastAsia="es-ES_tradnl"/>
        </w:rPr>
        <w:t xml:space="preserve">, </w:t>
      </w:r>
      <w:r w:rsidR="002D1549">
        <w:rPr>
          <w:rFonts w:ascii="Palatino Linotype" w:hAnsi="Palatino Linotype"/>
          <w:color w:val="222222"/>
          <w:szCs w:val="17"/>
          <w:lang w:eastAsia="es-ES_tradnl"/>
        </w:rPr>
        <w:t>por las siguientes consideraciones:</w:t>
      </w:r>
    </w:p>
    <w:p w14:paraId="055B5852" w14:textId="06D39FCD" w:rsidR="007518C8" w:rsidRPr="007518C8" w:rsidRDefault="00DC3BDE" w:rsidP="007518C8">
      <w:pPr>
        <w:tabs>
          <w:tab w:val="left" w:pos="709"/>
        </w:tabs>
        <w:spacing w:before="240" w:line="360" w:lineRule="auto"/>
        <w:ind w:right="51"/>
        <w:jc w:val="both"/>
        <w:rPr>
          <w:rFonts w:ascii="Palatino Linotype" w:hAnsi="Palatino Linotype"/>
          <w:color w:val="222222"/>
          <w:szCs w:val="17"/>
          <w:lang w:eastAsia="es-ES_tradnl"/>
        </w:rPr>
      </w:pPr>
      <w:r>
        <w:rPr>
          <w:rFonts w:ascii="Palatino Linotype" w:hAnsi="Palatino Linotype"/>
          <w:color w:val="222222"/>
          <w:szCs w:val="17"/>
          <w:lang w:eastAsia="es-ES_tradnl"/>
        </w:rPr>
        <w:t xml:space="preserve">El </w:t>
      </w:r>
      <w:r w:rsidR="002D1549">
        <w:rPr>
          <w:rFonts w:ascii="Palatino Linotype" w:hAnsi="Palatino Linotype"/>
          <w:color w:val="222222"/>
          <w:szCs w:val="17"/>
          <w:lang w:eastAsia="es-ES_tradnl"/>
        </w:rPr>
        <w:t xml:space="preserve">recurso de revisión fue interpuesto por el particular ante su inconformidad por la respuesta proporcionada por el </w:t>
      </w:r>
      <w:r w:rsidR="00DA33F5">
        <w:rPr>
          <w:rFonts w:ascii="Palatino Linotype" w:hAnsi="Palatino Linotype"/>
          <w:color w:val="222222"/>
          <w:szCs w:val="17"/>
          <w:lang w:eastAsia="es-ES_tradnl"/>
        </w:rPr>
        <w:t>Sujeto Obligado</w:t>
      </w:r>
      <w:r w:rsidR="002E0EDE">
        <w:rPr>
          <w:rFonts w:ascii="Palatino Linotype" w:hAnsi="Palatino Linotype"/>
          <w:color w:val="222222"/>
          <w:szCs w:val="17"/>
          <w:lang w:eastAsia="es-ES_tradnl"/>
        </w:rPr>
        <w:t>,</w:t>
      </w:r>
      <w:r w:rsidR="002A353B">
        <w:rPr>
          <w:rFonts w:ascii="Palatino Linotype" w:hAnsi="Palatino Linotype"/>
          <w:color w:val="222222"/>
          <w:szCs w:val="17"/>
          <w:lang w:eastAsia="es-ES_tradnl"/>
        </w:rPr>
        <w:t xml:space="preserve"> </w:t>
      </w:r>
      <w:r w:rsidR="002A353B" w:rsidRPr="002A353B">
        <w:rPr>
          <w:rFonts w:ascii="Palatino Linotype" w:hAnsi="Palatino Linotype"/>
          <w:color w:val="222222"/>
          <w:szCs w:val="17"/>
          <w:lang w:eastAsia="es-ES_tradnl"/>
        </w:rPr>
        <w:t xml:space="preserve">en virtud </w:t>
      </w:r>
      <w:r w:rsidR="002A353B">
        <w:rPr>
          <w:rFonts w:ascii="Palatino Linotype" w:hAnsi="Palatino Linotype"/>
          <w:color w:val="222222"/>
          <w:szCs w:val="17"/>
          <w:lang w:eastAsia="es-ES_tradnl"/>
        </w:rPr>
        <w:t xml:space="preserve">de </w:t>
      </w:r>
      <w:r w:rsidR="002A353B" w:rsidRPr="002A353B">
        <w:rPr>
          <w:rFonts w:ascii="Palatino Linotype" w:hAnsi="Palatino Linotype"/>
          <w:color w:val="222222"/>
          <w:szCs w:val="17"/>
          <w:lang w:eastAsia="es-ES_tradnl"/>
        </w:rPr>
        <w:t xml:space="preserve">que </w:t>
      </w:r>
      <w:r w:rsidR="002A353B">
        <w:rPr>
          <w:rFonts w:ascii="Palatino Linotype" w:hAnsi="Palatino Linotype"/>
          <w:color w:val="222222"/>
          <w:szCs w:val="17"/>
          <w:lang w:eastAsia="es-ES_tradnl"/>
        </w:rPr>
        <w:t>niega la información solicitada</w:t>
      </w:r>
      <w:r w:rsidR="007518C8">
        <w:rPr>
          <w:rFonts w:ascii="Palatino Linotype" w:hAnsi="Palatino Linotype"/>
          <w:color w:val="222222"/>
          <w:szCs w:val="17"/>
          <w:lang w:eastAsia="es-ES_tradnl"/>
        </w:rPr>
        <w:t xml:space="preserve">, al considerar que la información contendida en el expediente PROPAEM/0705/2018, </w:t>
      </w:r>
      <w:r w:rsidR="00FB3715">
        <w:rPr>
          <w:rFonts w:ascii="Palatino Linotype" w:hAnsi="Palatino Linotype"/>
          <w:color w:val="222222"/>
          <w:szCs w:val="17"/>
          <w:lang w:eastAsia="es-ES_tradnl"/>
        </w:rPr>
        <w:t>se encuentra reservada, hasta que esté</w:t>
      </w:r>
      <w:r w:rsidR="007518C8">
        <w:rPr>
          <w:rFonts w:ascii="Palatino Linotype" w:hAnsi="Palatino Linotype"/>
          <w:color w:val="222222"/>
          <w:szCs w:val="17"/>
          <w:lang w:eastAsia="es-ES_tradnl"/>
        </w:rPr>
        <w:t xml:space="preserve"> total y definitivamente concluido el procedimiento, sin acompañar en su respuesta el acuerdo debidamente fundado y motivado del Comité de Transparencia en la que sustente dicha clasificación.</w:t>
      </w:r>
    </w:p>
    <w:p w14:paraId="3C476A60" w14:textId="2BDBB2B8" w:rsidR="00027543" w:rsidRDefault="008F175D" w:rsidP="007518C8">
      <w:pPr>
        <w:tabs>
          <w:tab w:val="left" w:pos="709"/>
        </w:tabs>
        <w:spacing w:before="240" w:line="360" w:lineRule="auto"/>
        <w:ind w:right="51"/>
        <w:jc w:val="both"/>
        <w:rPr>
          <w:rFonts w:ascii="Palatino Linotype" w:hAnsi="Palatino Linotype" w:cs="Arial"/>
        </w:rPr>
      </w:pPr>
      <w:r>
        <w:rPr>
          <w:rFonts w:ascii="Palatino Linotype" w:hAnsi="Palatino Linotype" w:cs="Arial"/>
        </w:rPr>
        <w:t>Posteriormente</w:t>
      </w:r>
      <w:r w:rsidR="00FB3715">
        <w:rPr>
          <w:rFonts w:ascii="Palatino Linotype" w:hAnsi="Palatino Linotype" w:cs="Arial"/>
        </w:rPr>
        <w:t>,</w:t>
      </w:r>
      <w:r>
        <w:rPr>
          <w:rFonts w:ascii="Palatino Linotype" w:hAnsi="Palatino Linotype" w:cs="Arial"/>
        </w:rPr>
        <w:t xml:space="preserve"> abierta la etapa de instrucción el Sujeto Obligado en informe justificado </w:t>
      </w:r>
      <w:r w:rsidR="00110FE1">
        <w:rPr>
          <w:rFonts w:ascii="Palatino Linotype" w:hAnsi="Palatino Linotype" w:cs="Arial"/>
        </w:rPr>
        <w:t>medularmente</w:t>
      </w:r>
      <w:r w:rsidR="00564A90">
        <w:rPr>
          <w:rFonts w:ascii="Palatino Linotype" w:hAnsi="Palatino Linotype" w:cs="Arial"/>
        </w:rPr>
        <w:t xml:space="preserve"> ratificó</w:t>
      </w:r>
      <w:r w:rsidR="00110FE1">
        <w:rPr>
          <w:rFonts w:ascii="Palatino Linotype" w:hAnsi="Palatino Linotype" w:cs="Arial"/>
        </w:rPr>
        <w:t xml:space="preserve"> su respuesta y</w:t>
      </w:r>
      <w:r w:rsidR="00370CD6">
        <w:rPr>
          <w:rFonts w:ascii="Palatino Linotype" w:hAnsi="Palatino Linotype"/>
        </w:rPr>
        <w:t xml:space="preserve"> la recurrente no manifestó pretensión alguna </w:t>
      </w:r>
      <w:r w:rsidR="00110FE1">
        <w:rPr>
          <w:rFonts w:ascii="Palatino Linotype" w:hAnsi="Palatino Linotype"/>
        </w:rPr>
        <w:t>en la presente etapa.</w:t>
      </w:r>
    </w:p>
    <w:p w14:paraId="583AFB17" w14:textId="77777777" w:rsidR="00891156" w:rsidRDefault="00891156" w:rsidP="00891156">
      <w:pPr>
        <w:spacing w:before="240" w:after="240" w:line="360" w:lineRule="auto"/>
        <w:jc w:val="both"/>
        <w:rPr>
          <w:rFonts w:ascii="Palatino Linotype" w:hAnsi="Palatino Linotype" w:cs="Arial"/>
        </w:rPr>
      </w:pPr>
      <w:r>
        <w:rPr>
          <w:rFonts w:ascii="Palatino Linotype" w:hAnsi="Palatino Linotype" w:cs="Arial"/>
        </w:rPr>
        <w:lastRenderedPageBreak/>
        <w:t>Ante tal situación y a partir de la interpretación</w:t>
      </w:r>
      <w:r>
        <w:rPr>
          <w:rStyle w:val="Refdenotaalpie"/>
          <w:rFonts w:ascii="Palatino Linotype" w:hAnsi="Palatino Linotype" w:cs="Arial"/>
        </w:rPr>
        <w:footnoteReference w:id="2"/>
      </w:r>
      <w:r>
        <w:rPr>
          <w:rFonts w:ascii="Palatino Linotype" w:hAnsi="Palatino Linotype" w:cs="Arial"/>
        </w:rPr>
        <w:t xml:space="preserve"> a los artículos 159 y 160 de la Ley General de Transparencia y Acceso a la Información Pública que son de la literalidad siguiente:</w:t>
      </w:r>
    </w:p>
    <w:p w14:paraId="69BF88FB" w14:textId="77777777" w:rsidR="00891156" w:rsidRDefault="00891156" w:rsidP="00891156">
      <w:pPr>
        <w:ind w:left="851" w:right="902"/>
        <w:jc w:val="both"/>
        <w:rPr>
          <w:rFonts w:ascii="Palatino Linotype" w:hAnsi="Palatino Linotype" w:cs="Arial"/>
          <w:i/>
          <w:sz w:val="20"/>
          <w:szCs w:val="20"/>
        </w:rPr>
      </w:pPr>
      <w:r>
        <w:rPr>
          <w:rFonts w:ascii="Palatino Linotype" w:hAnsi="Palatino Linotype" w:cs="Arial"/>
          <w:b/>
          <w:i/>
          <w:sz w:val="20"/>
          <w:szCs w:val="20"/>
        </w:rPr>
        <w:t xml:space="preserve">“Artículo 159. </w:t>
      </w:r>
      <w:r>
        <w:rPr>
          <w:rFonts w:ascii="Palatino Linotype" w:hAnsi="Palatino Linotype" w:cs="Arial"/>
          <w:i/>
          <w:sz w:val="20"/>
          <w:szCs w:val="20"/>
        </w:rPr>
        <w:t>Tratándose de las resoluciones a los recursos de revisión de los Organismos garantes de las Entidades Federativas, los particulares podrán optar por acudir ante el Instituto o ante el Poder Judicial de la Federación.”</w:t>
      </w:r>
    </w:p>
    <w:p w14:paraId="73F6E709" w14:textId="77777777" w:rsidR="00891156" w:rsidRDefault="00891156" w:rsidP="00891156">
      <w:pPr>
        <w:ind w:left="851" w:right="902"/>
        <w:jc w:val="both"/>
        <w:rPr>
          <w:rFonts w:ascii="Palatino Linotype" w:hAnsi="Palatino Linotype" w:cs="Arial"/>
          <w:i/>
          <w:sz w:val="20"/>
          <w:szCs w:val="20"/>
        </w:rPr>
      </w:pPr>
      <w:r>
        <w:rPr>
          <w:rFonts w:ascii="Palatino Linotype" w:hAnsi="Palatino Linotype" w:cs="Arial"/>
          <w:b/>
          <w:i/>
          <w:sz w:val="20"/>
          <w:szCs w:val="20"/>
        </w:rPr>
        <w:t>“Artículo 160.</w:t>
      </w:r>
      <w:r>
        <w:rPr>
          <w:rFonts w:ascii="Palatino Linotype" w:hAnsi="Palatino Linotype" w:cs="Arial"/>
          <w:i/>
          <w:sz w:val="20"/>
          <w:szCs w:val="20"/>
        </w:rPr>
        <w:t xml:space="preserve"> El recurso de inconformidad procede contra las resoluciones emitidas por los Organismos garantes de las Entidades Federativas que:</w:t>
      </w:r>
    </w:p>
    <w:p w14:paraId="620A4D03" w14:textId="77777777" w:rsidR="00891156" w:rsidRDefault="00891156" w:rsidP="00891156">
      <w:pPr>
        <w:ind w:left="851" w:right="902"/>
        <w:jc w:val="both"/>
        <w:rPr>
          <w:rFonts w:ascii="Palatino Linotype" w:hAnsi="Palatino Linotype" w:cs="Arial"/>
          <w:i/>
          <w:sz w:val="20"/>
          <w:szCs w:val="20"/>
        </w:rPr>
      </w:pPr>
      <w:r>
        <w:rPr>
          <w:rFonts w:ascii="Palatino Linotype" w:hAnsi="Palatino Linotype" w:cs="Arial"/>
          <w:i/>
          <w:sz w:val="20"/>
          <w:szCs w:val="20"/>
        </w:rPr>
        <w:t>I. Confirmen o modifiquen la clasificación de la información, (…)”</w:t>
      </w:r>
    </w:p>
    <w:p w14:paraId="2CAC9E2A" w14:textId="1D8A5DCA" w:rsidR="0082281C" w:rsidRPr="00C1696D" w:rsidRDefault="00C650FE" w:rsidP="001D3EA3">
      <w:pPr>
        <w:spacing w:before="240" w:after="240" w:line="360" w:lineRule="auto"/>
        <w:jc w:val="both"/>
        <w:rPr>
          <w:rFonts w:ascii="Palatino Linotype" w:hAnsi="Palatino Linotype"/>
        </w:rPr>
      </w:pPr>
      <w:r w:rsidRPr="00C1696D">
        <w:rPr>
          <w:rFonts w:ascii="Palatino Linotype" w:hAnsi="Palatino Linotype" w:cs="Arial"/>
        </w:rPr>
        <w:t xml:space="preserve">Debió considerarse </w:t>
      </w:r>
      <w:r w:rsidRPr="00C1696D">
        <w:rPr>
          <w:rFonts w:ascii="Palatino Linotype" w:hAnsi="Palatino Linotype"/>
        </w:rPr>
        <w:t xml:space="preserve">notificar a la particular que podía acudir ante el Instituto Nacional de Transparencia, Acceso a la Información y Protección de Datos Personales (INAI) o ante el Poder Judicial de la Federación para interponer recurso de inconformidad, </w:t>
      </w:r>
      <w:r w:rsidR="00C06EE2" w:rsidRPr="00C1696D">
        <w:rPr>
          <w:rFonts w:ascii="Palatino Linotype" w:hAnsi="Palatino Linotype" w:cs="Arial"/>
        </w:rPr>
        <w:t xml:space="preserve">favoreciendo con ello </w:t>
      </w:r>
      <w:r w:rsidR="001D3EA3" w:rsidRPr="00C1696D">
        <w:rPr>
          <w:rFonts w:ascii="Palatino Linotype" w:hAnsi="Palatino Linotype" w:cs="Arial"/>
        </w:rPr>
        <w:t xml:space="preserve">lo previsto en el </w:t>
      </w:r>
      <w:r w:rsidR="00534235" w:rsidRPr="00C1696D">
        <w:rPr>
          <w:rFonts w:ascii="Palatino Linotype" w:hAnsi="Palatino Linotype" w:cs="Arial"/>
        </w:rPr>
        <w:t>artículo 1</w:t>
      </w:r>
      <w:r w:rsidR="00B02CB0" w:rsidRPr="00C1696D">
        <w:rPr>
          <w:rStyle w:val="Refdenotaalpie"/>
          <w:rFonts w:ascii="Palatino Linotype" w:hAnsi="Palatino Linotype" w:cs="Arial"/>
        </w:rPr>
        <w:footnoteReference w:id="3"/>
      </w:r>
      <w:r w:rsidR="00534235" w:rsidRPr="00C1696D">
        <w:rPr>
          <w:rFonts w:ascii="Palatino Linotype" w:hAnsi="Palatino Linotype" w:cs="Arial"/>
        </w:rPr>
        <w:t xml:space="preserve"> de la Constitución Política de los Estados Unidos Mexicanos</w:t>
      </w:r>
      <w:r w:rsidRPr="00C1696D">
        <w:rPr>
          <w:rFonts w:ascii="Palatino Linotype" w:hAnsi="Palatino Linotype" w:cs="Arial"/>
        </w:rPr>
        <w:t>.</w:t>
      </w:r>
    </w:p>
    <w:p w14:paraId="12D154EB" w14:textId="67F252D0" w:rsidR="0082281C" w:rsidRPr="00C1696D" w:rsidRDefault="00370CD6" w:rsidP="00506B07">
      <w:pPr>
        <w:spacing w:before="240" w:after="240" w:line="360" w:lineRule="auto"/>
        <w:jc w:val="both"/>
        <w:rPr>
          <w:rFonts w:ascii="Palatino Linotype" w:hAnsi="Palatino Linotype"/>
        </w:rPr>
      </w:pPr>
      <w:r w:rsidRPr="00C1696D">
        <w:rPr>
          <w:rFonts w:ascii="Palatino Linotype" w:hAnsi="Palatino Linotype"/>
        </w:rPr>
        <w:lastRenderedPageBreak/>
        <w:t>En este sentido</w:t>
      </w:r>
      <w:r w:rsidR="00F40941" w:rsidRPr="00C1696D">
        <w:rPr>
          <w:rFonts w:ascii="Palatino Linotype" w:hAnsi="Palatino Linotype"/>
        </w:rPr>
        <w:t xml:space="preserve"> y para abundar en el tema conviene precisar que los particulares podrán interponer recurso de inconformidad ante el INAI o ante el Poder Judicial de la Federación dentro de los quinc</w:t>
      </w:r>
      <w:r w:rsidR="00564A90">
        <w:rPr>
          <w:rFonts w:ascii="Palatino Linotype" w:hAnsi="Palatino Linotype"/>
        </w:rPr>
        <w:t>e días posteriores a que tenga</w:t>
      </w:r>
      <w:r w:rsidR="00F40941" w:rsidRPr="00C1696D">
        <w:rPr>
          <w:rFonts w:ascii="Palatino Linotype" w:hAnsi="Palatino Linotype"/>
        </w:rPr>
        <w:t xml:space="preserve"> conocimiento de la resolución mediante el sistema electrónico que para tales efectos haya dispuesto el INAI o por escrito.</w:t>
      </w:r>
    </w:p>
    <w:p w14:paraId="2318DE58" w14:textId="6284B647" w:rsidR="00F40941" w:rsidRPr="00891156" w:rsidRDefault="00F40941" w:rsidP="00506B07">
      <w:pPr>
        <w:spacing w:before="240" w:after="240" w:line="360" w:lineRule="auto"/>
        <w:jc w:val="both"/>
        <w:rPr>
          <w:rFonts w:ascii="Palatino Linotype" w:hAnsi="Palatino Linotype"/>
        </w:rPr>
      </w:pPr>
      <w:r w:rsidRPr="00891156">
        <w:rPr>
          <w:rFonts w:ascii="Palatino Linotype" w:hAnsi="Palatino Linotype"/>
        </w:rPr>
        <w:t>Cabe considerar, que también se podrá presentar por escrito ante este Instituto, instancia que a su vez tiene la obligación de remitirlo</w:t>
      </w:r>
      <w:r w:rsidR="00393DFF" w:rsidRPr="00891156">
        <w:rPr>
          <w:rFonts w:ascii="Palatino Linotype" w:hAnsi="Palatino Linotype"/>
        </w:rPr>
        <w:t xml:space="preserve"> al día siguiente de su recepción</w:t>
      </w:r>
      <w:r w:rsidRPr="00891156">
        <w:rPr>
          <w:rFonts w:ascii="Palatino Linotype" w:hAnsi="Palatino Linotype"/>
        </w:rPr>
        <w:t xml:space="preserve"> </w:t>
      </w:r>
      <w:r w:rsidR="00393DFF" w:rsidRPr="00891156">
        <w:rPr>
          <w:rFonts w:ascii="Palatino Linotype" w:hAnsi="Palatino Linotype"/>
        </w:rPr>
        <w:t>al Organismo Garante de la Entidad Federativa, acompañado de la resolución impugnada.</w:t>
      </w:r>
    </w:p>
    <w:p w14:paraId="30DA30E9" w14:textId="46784406" w:rsidR="00393DFF" w:rsidRPr="00891156" w:rsidRDefault="00393DFF" w:rsidP="002E0EDE">
      <w:pPr>
        <w:spacing w:before="240" w:after="120" w:line="360" w:lineRule="auto"/>
        <w:jc w:val="both"/>
        <w:rPr>
          <w:rFonts w:ascii="Palatino Linotype" w:hAnsi="Palatino Linotype"/>
        </w:rPr>
      </w:pPr>
      <w:r w:rsidRPr="00891156">
        <w:rPr>
          <w:rFonts w:ascii="Palatino Linotype" w:hAnsi="Palatino Linotype"/>
        </w:rPr>
        <w:t>Recurso de inconformidad, que deberá contener lo dispuesto en el artículo 162 de la Ley General de referencia, que reza de la siguiente forma:</w:t>
      </w:r>
    </w:p>
    <w:p w14:paraId="1452E548" w14:textId="2F4D701C" w:rsidR="00393DFF" w:rsidRPr="00891156" w:rsidRDefault="00393DFF" w:rsidP="00393DFF">
      <w:pPr>
        <w:ind w:left="851" w:right="902"/>
        <w:jc w:val="both"/>
        <w:rPr>
          <w:rFonts w:ascii="Palatino Linotype" w:hAnsi="Palatino Linotype"/>
          <w:i/>
          <w:sz w:val="20"/>
          <w:szCs w:val="20"/>
        </w:rPr>
      </w:pPr>
      <w:r w:rsidRPr="00891156">
        <w:rPr>
          <w:rFonts w:ascii="Palatino Linotype" w:hAnsi="Palatino Linotype"/>
          <w:b/>
          <w:i/>
          <w:sz w:val="20"/>
          <w:szCs w:val="20"/>
        </w:rPr>
        <w:t>“Artículo 162.</w:t>
      </w:r>
      <w:r w:rsidRPr="00891156">
        <w:rPr>
          <w:rFonts w:ascii="Palatino Linotype" w:hAnsi="Palatino Linotype"/>
          <w:i/>
          <w:sz w:val="20"/>
          <w:szCs w:val="20"/>
        </w:rPr>
        <w:t xml:space="preserve"> El recurso de inconformidad deberá contener:  </w:t>
      </w:r>
    </w:p>
    <w:p w14:paraId="4B32A604" w14:textId="77777777" w:rsidR="00393DFF" w:rsidRPr="00891156" w:rsidRDefault="00393DFF" w:rsidP="00393DFF">
      <w:pPr>
        <w:ind w:left="1134" w:right="902"/>
        <w:jc w:val="both"/>
        <w:rPr>
          <w:rFonts w:ascii="Palatino Linotype" w:hAnsi="Palatino Linotype"/>
          <w:i/>
          <w:sz w:val="20"/>
          <w:szCs w:val="20"/>
        </w:rPr>
      </w:pPr>
      <w:r w:rsidRPr="00891156">
        <w:rPr>
          <w:rFonts w:ascii="Palatino Linotype" w:hAnsi="Palatino Linotype"/>
          <w:i/>
          <w:sz w:val="20"/>
          <w:szCs w:val="20"/>
        </w:rPr>
        <w:t xml:space="preserve">I. El sujeto obligado ante el cual se presentó la solicitud;  </w:t>
      </w:r>
    </w:p>
    <w:p w14:paraId="7117BD65" w14:textId="77777777" w:rsidR="00393DFF" w:rsidRPr="00891156" w:rsidRDefault="00393DFF" w:rsidP="00393DFF">
      <w:pPr>
        <w:ind w:left="1134" w:right="902"/>
        <w:jc w:val="both"/>
        <w:rPr>
          <w:rFonts w:ascii="Palatino Linotype" w:hAnsi="Palatino Linotype"/>
          <w:i/>
          <w:sz w:val="20"/>
          <w:szCs w:val="20"/>
        </w:rPr>
      </w:pPr>
      <w:r w:rsidRPr="00891156">
        <w:rPr>
          <w:rFonts w:ascii="Palatino Linotype" w:hAnsi="Palatino Linotype"/>
          <w:i/>
          <w:sz w:val="20"/>
          <w:szCs w:val="20"/>
        </w:rPr>
        <w:t xml:space="preserve">II. El número de la resolución del recurso de revisión de la resolución impugnada;  </w:t>
      </w:r>
    </w:p>
    <w:p w14:paraId="36C9B2A5" w14:textId="77777777" w:rsidR="00393DFF" w:rsidRPr="00891156" w:rsidRDefault="00393DFF" w:rsidP="00393DFF">
      <w:pPr>
        <w:ind w:left="1134" w:right="902"/>
        <w:jc w:val="both"/>
        <w:rPr>
          <w:rFonts w:ascii="Palatino Linotype" w:hAnsi="Palatino Linotype"/>
          <w:i/>
          <w:sz w:val="20"/>
          <w:szCs w:val="20"/>
        </w:rPr>
      </w:pPr>
      <w:r w:rsidRPr="00891156">
        <w:rPr>
          <w:rFonts w:ascii="Palatino Linotype" w:hAnsi="Palatino Linotype"/>
          <w:i/>
          <w:sz w:val="20"/>
          <w:szCs w:val="20"/>
        </w:rPr>
        <w:t xml:space="preserve">III. El organismo garante que emitió la resolución que se impugna;  </w:t>
      </w:r>
    </w:p>
    <w:p w14:paraId="72D72D98" w14:textId="77777777" w:rsidR="00393DFF" w:rsidRPr="00891156" w:rsidRDefault="00393DFF" w:rsidP="00393DFF">
      <w:pPr>
        <w:ind w:left="1134" w:right="902"/>
        <w:jc w:val="both"/>
        <w:rPr>
          <w:rFonts w:ascii="Palatino Linotype" w:hAnsi="Palatino Linotype"/>
          <w:i/>
          <w:sz w:val="20"/>
          <w:szCs w:val="20"/>
        </w:rPr>
      </w:pPr>
      <w:r w:rsidRPr="00891156">
        <w:rPr>
          <w:rFonts w:ascii="Palatino Linotype" w:hAnsi="Palatino Linotype"/>
          <w:i/>
          <w:sz w:val="20"/>
          <w:szCs w:val="20"/>
        </w:rPr>
        <w:t xml:space="preserve">IV. El nombre del inconforme y, en su caso, del tercero interesado, así como las correspondientes direcciones o medios para recibir notificaciones;  </w:t>
      </w:r>
    </w:p>
    <w:p w14:paraId="43FD0F43" w14:textId="77777777" w:rsidR="00393DFF" w:rsidRPr="00891156" w:rsidRDefault="00393DFF" w:rsidP="00393DFF">
      <w:pPr>
        <w:ind w:left="1134" w:right="902"/>
        <w:jc w:val="both"/>
        <w:rPr>
          <w:rFonts w:ascii="Palatino Linotype" w:hAnsi="Palatino Linotype"/>
          <w:i/>
          <w:sz w:val="20"/>
          <w:szCs w:val="20"/>
        </w:rPr>
      </w:pPr>
      <w:r w:rsidRPr="00891156">
        <w:rPr>
          <w:rFonts w:ascii="Palatino Linotype" w:hAnsi="Palatino Linotype"/>
          <w:i/>
          <w:sz w:val="20"/>
          <w:szCs w:val="20"/>
        </w:rPr>
        <w:t xml:space="preserve">V. La fecha en que fue notificada la resolución impugnada;  </w:t>
      </w:r>
    </w:p>
    <w:p w14:paraId="5E3F5EAC" w14:textId="77777777" w:rsidR="00393DFF" w:rsidRPr="00891156" w:rsidRDefault="00393DFF" w:rsidP="00393DFF">
      <w:pPr>
        <w:ind w:left="1134" w:right="902"/>
        <w:jc w:val="both"/>
        <w:rPr>
          <w:rFonts w:ascii="Palatino Linotype" w:hAnsi="Palatino Linotype"/>
          <w:i/>
          <w:sz w:val="20"/>
          <w:szCs w:val="20"/>
        </w:rPr>
      </w:pPr>
      <w:r w:rsidRPr="00891156">
        <w:rPr>
          <w:rFonts w:ascii="Palatino Linotype" w:hAnsi="Palatino Linotype"/>
          <w:i/>
          <w:sz w:val="20"/>
          <w:szCs w:val="20"/>
        </w:rPr>
        <w:t xml:space="preserve">VI. El acto que se recurre;  </w:t>
      </w:r>
    </w:p>
    <w:p w14:paraId="401FC473" w14:textId="77777777" w:rsidR="00393DFF" w:rsidRPr="00891156" w:rsidRDefault="00393DFF" w:rsidP="00393DFF">
      <w:pPr>
        <w:ind w:left="1134" w:right="902"/>
        <w:jc w:val="both"/>
        <w:rPr>
          <w:rFonts w:ascii="Palatino Linotype" w:hAnsi="Palatino Linotype"/>
          <w:i/>
          <w:sz w:val="20"/>
          <w:szCs w:val="20"/>
        </w:rPr>
      </w:pPr>
      <w:r w:rsidRPr="00891156">
        <w:rPr>
          <w:rFonts w:ascii="Palatino Linotype" w:hAnsi="Palatino Linotype"/>
          <w:i/>
          <w:sz w:val="20"/>
          <w:szCs w:val="20"/>
        </w:rPr>
        <w:t xml:space="preserve">VII. Las razones o motivos de la inconformidad, y  </w:t>
      </w:r>
    </w:p>
    <w:p w14:paraId="1DC0530F" w14:textId="77777777" w:rsidR="00393DFF" w:rsidRPr="00891156" w:rsidRDefault="00393DFF" w:rsidP="00393DFF">
      <w:pPr>
        <w:ind w:left="1134" w:right="902"/>
        <w:jc w:val="both"/>
        <w:rPr>
          <w:rFonts w:ascii="Palatino Linotype" w:hAnsi="Palatino Linotype"/>
          <w:i/>
          <w:sz w:val="20"/>
          <w:szCs w:val="20"/>
        </w:rPr>
      </w:pPr>
      <w:r w:rsidRPr="00891156">
        <w:rPr>
          <w:rFonts w:ascii="Palatino Linotype" w:hAnsi="Palatino Linotype"/>
          <w:i/>
          <w:sz w:val="20"/>
          <w:szCs w:val="20"/>
        </w:rPr>
        <w:t xml:space="preserve">VIII. La copia de la resolución que se impugna y, en su caso, de la notificación correspondiente.  </w:t>
      </w:r>
    </w:p>
    <w:p w14:paraId="6ED375DB" w14:textId="5C91E867" w:rsidR="00393DFF" w:rsidRPr="00891156" w:rsidRDefault="00393DFF" w:rsidP="00393DFF">
      <w:pPr>
        <w:ind w:left="851" w:right="902"/>
        <w:jc w:val="both"/>
        <w:rPr>
          <w:rFonts w:ascii="Palatino Linotype" w:hAnsi="Palatino Linotype"/>
          <w:i/>
          <w:sz w:val="20"/>
          <w:szCs w:val="20"/>
        </w:rPr>
      </w:pPr>
      <w:r w:rsidRPr="00891156">
        <w:rPr>
          <w:rFonts w:ascii="Palatino Linotype" w:hAnsi="Palatino Linotype"/>
          <w:i/>
          <w:sz w:val="20"/>
          <w:szCs w:val="20"/>
        </w:rPr>
        <w:t>El recurrente podrá anexar las pruebas y demás elementos que considere procedentes someter a consideración del organismo garante.”</w:t>
      </w:r>
    </w:p>
    <w:p w14:paraId="6FCB2633" w14:textId="77777777" w:rsidR="0012278D" w:rsidRDefault="0012278D" w:rsidP="002E0EDE">
      <w:pPr>
        <w:spacing w:before="120" w:after="240" w:line="360" w:lineRule="auto"/>
        <w:jc w:val="both"/>
        <w:rPr>
          <w:rFonts w:ascii="Palatino Linotype" w:hAnsi="Palatino Linotype"/>
        </w:rPr>
      </w:pPr>
    </w:p>
    <w:p w14:paraId="389506CA" w14:textId="3A083604" w:rsidR="001D5D6B" w:rsidRDefault="00C66660" w:rsidP="002E0EDE">
      <w:pPr>
        <w:spacing w:before="120" w:after="240" w:line="360" w:lineRule="auto"/>
        <w:jc w:val="both"/>
        <w:rPr>
          <w:rFonts w:ascii="Palatino Linotype" w:hAnsi="Palatino Linotype"/>
        </w:rPr>
      </w:pPr>
      <w:r w:rsidRPr="00891156">
        <w:rPr>
          <w:rFonts w:ascii="Palatino Linotype" w:hAnsi="Palatino Linotype"/>
        </w:rPr>
        <w:lastRenderedPageBreak/>
        <w:t xml:space="preserve">Por lo que </w:t>
      </w:r>
      <w:proofErr w:type="spellStart"/>
      <w:r w:rsidR="00564A90">
        <w:rPr>
          <w:rFonts w:ascii="Palatino Linotype" w:hAnsi="Palatino Linotype"/>
        </w:rPr>
        <w:t>concluyo</w:t>
      </w:r>
      <w:proofErr w:type="spellEnd"/>
      <w:r w:rsidRPr="00891156">
        <w:rPr>
          <w:rFonts w:ascii="Palatino Linotype" w:hAnsi="Palatino Linotype"/>
        </w:rPr>
        <w:t xml:space="preserve"> diciendo</w:t>
      </w:r>
      <w:r w:rsidR="002E0EDE" w:rsidRPr="00891156">
        <w:rPr>
          <w:rFonts w:ascii="Palatino Linotype" w:hAnsi="Palatino Linotype"/>
        </w:rPr>
        <w:t>,</w:t>
      </w:r>
      <w:r w:rsidRPr="00891156">
        <w:rPr>
          <w:rFonts w:ascii="Palatino Linotype" w:hAnsi="Palatino Linotype"/>
        </w:rPr>
        <w:t xml:space="preserve"> que </w:t>
      </w:r>
      <w:r w:rsidR="002E0EDE" w:rsidRPr="00891156">
        <w:rPr>
          <w:rFonts w:ascii="Palatino Linotype" w:hAnsi="Palatino Linotype"/>
        </w:rPr>
        <w:t xml:space="preserve">a fin de salvaguardar el derecho de acceso a la información del particular, se le debió notificar mediante </w:t>
      </w:r>
      <w:r w:rsidRPr="00891156">
        <w:rPr>
          <w:rFonts w:ascii="Palatino Linotype" w:hAnsi="Palatino Linotype"/>
        </w:rPr>
        <w:t xml:space="preserve">el resolutivo </w:t>
      </w:r>
      <w:r w:rsidR="00891156">
        <w:rPr>
          <w:rFonts w:ascii="Palatino Linotype" w:hAnsi="Palatino Linotype"/>
        </w:rPr>
        <w:t>QUINTO</w:t>
      </w:r>
      <w:r w:rsidRPr="00891156">
        <w:rPr>
          <w:rFonts w:ascii="Palatino Linotype" w:hAnsi="Palatino Linotype"/>
        </w:rPr>
        <w:t xml:space="preserve"> </w:t>
      </w:r>
      <w:r w:rsidR="002E0EDE" w:rsidRPr="00891156">
        <w:rPr>
          <w:rFonts w:ascii="Palatino Linotype" w:hAnsi="Palatino Linotype"/>
        </w:rPr>
        <w:t>que</w:t>
      </w:r>
      <w:r w:rsidRPr="00891156">
        <w:rPr>
          <w:rFonts w:ascii="Palatino Linotype" w:hAnsi="Palatino Linotype"/>
        </w:rPr>
        <w:t xml:space="preserve"> podía interponer recurso de inconformidad ante el Instituto Nacional de Transparencia, Acceso a la Información y Protección de Datos Personales (INAI) o ante el Poder Judicial de la Federación con base en lo dispuesto en los artículos 196 de la Ley de Transparencia y Acceso a la Información Pública del Estado de México de México y Municipios, 159 y 160 de la Ley General de Transparencia y Acceso a la Información Pública.</w:t>
      </w:r>
    </w:p>
    <w:p w14:paraId="25E7D744" w14:textId="77777777" w:rsidR="006E55BA" w:rsidRDefault="006E55BA" w:rsidP="002E0EDE">
      <w:pPr>
        <w:spacing w:before="120" w:after="240" w:line="360" w:lineRule="auto"/>
        <w:jc w:val="both"/>
        <w:rPr>
          <w:rFonts w:ascii="Palatino Linotype" w:hAnsi="Palatino Linotype"/>
        </w:rPr>
      </w:pPr>
    </w:p>
    <w:p w14:paraId="4A3A0639" w14:textId="77777777" w:rsidR="006E55BA" w:rsidRDefault="006E55BA" w:rsidP="002E0EDE">
      <w:pPr>
        <w:spacing w:before="120" w:after="240" w:line="360" w:lineRule="auto"/>
        <w:jc w:val="both"/>
        <w:rPr>
          <w:rFonts w:ascii="Palatino Linotype" w:hAnsi="Palatino Linoty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7C2AA3" w:rsidRPr="00506B07" w14:paraId="28BCC321" w14:textId="77777777" w:rsidTr="007C2AA3">
        <w:trPr>
          <w:jc w:val="center"/>
        </w:trPr>
        <w:tc>
          <w:tcPr>
            <w:tcW w:w="4414" w:type="dxa"/>
          </w:tcPr>
          <w:p w14:paraId="1A18A5B4" w14:textId="2D8636EC" w:rsidR="007C2AA3" w:rsidRPr="00506B07" w:rsidRDefault="007C2AA3" w:rsidP="00A55065">
            <w:pPr>
              <w:jc w:val="center"/>
              <w:rPr>
                <w:rFonts w:ascii="Palatino Linotype" w:hAnsi="Palatino Linotype"/>
                <w:sz w:val="24"/>
                <w:szCs w:val="24"/>
              </w:rPr>
            </w:pPr>
            <w:r w:rsidRPr="00506B07">
              <w:rPr>
                <w:rFonts w:ascii="Palatino Linotype" w:hAnsi="Palatino Linotype"/>
                <w:b/>
                <w:sz w:val="24"/>
                <w:szCs w:val="24"/>
              </w:rPr>
              <w:t>Javier Martínez Cruz</w:t>
            </w:r>
          </w:p>
        </w:tc>
      </w:tr>
      <w:tr w:rsidR="007C2AA3" w:rsidRPr="00506B07" w14:paraId="29F9E988" w14:textId="77777777" w:rsidTr="007C2AA3">
        <w:trPr>
          <w:jc w:val="center"/>
        </w:trPr>
        <w:tc>
          <w:tcPr>
            <w:tcW w:w="4414" w:type="dxa"/>
          </w:tcPr>
          <w:p w14:paraId="3C999C29" w14:textId="77777777" w:rsidR="007C2AA3" w:rsidRDefault="007C2AA3" w:rsidP="00515268">
            <w:pPr>
              <w:jc w:val="center"/>
              <w:rPr>
                <w:rFonts w:ascii="Palatino Linotype" w:hAnsi="Palatino Linotype"/>
                <w:b/>
                <w:sz w:val="24"/>
                <w:szCs w:val="24"/>
              </w:rPr>
            </w:pPr>
            <w:r w:rsidRPr="00506B07">
              <w:rPr>
                <w:rFonts w:ascii="Palatino Linotype" w:hAnsi="Palatino Linotype"/>
                <w:b/>
                <w:sz w:val="24"/>
                <w:szCs w:val="24"/>
              </w:rPr>
              <w:t>Comisionado</w:t>
            </w:r>
          </w:p>
          <w:p w14:paraId="6C969257" w14:textId="5AB1287B" w:rsidR="00620FDF" w:rsidRPr="00506B07" w:rsidRDefault="00CB1CA0" w:rsidP="00515268">
            <w:pPr>
              <w:jc w:val="center"/>
              <w:rPr>
                <w:rFonts w:ascii="Palatino Linotype" w:hAnsi="Palatino Linotype"/>
                <w:sz w:val="24"/>
                <w:szCs w:val="24"/>
              </w:rPr>
            </w:pPr>
            <w:r>
              <w:rPr>
                <w:rFonts w:ascii="Palatino Linotype" w:hAnsi="Palatino Linotype"/>
                <w:sz w:val="24"/>
                <w:szCs w:val="24"/>
              </w:rPr>
              <w:t>(Rúbrica)</w:t>
            </w:r>
          </w:p>
        </w:tc>
      </w:tr>
    </w:tbl>
    <w:p w14:paraId="13E4327C" w14:textId="4A200F5E" w:rsidR="00FC21AA" w:rsidRDefault="00FC21AA" w:rsidP="006E55BA">
      <w:pPr>
        <w:tabs>
          <w:tab w:val="left" w:pos="1870"/>
        </w:tabs>
        <w:spacing w:before="240" w:after="240" w:line="360" w:lineRule="auto"/>
      </w:pPr>
    </w:p>
    <w:sectPr w:rsidR="00FC21AA" w:rsidSect="00575235">
      <w:headerReference w:type="default" r:id="rId8"/>
      <w:footerReference w:type="default" r:id="rId9"/>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218E5" w14:textId="77777777" w:rsidR="0017481B" w:rsidRDefault="0017481B" w:rsidP="00C80F8C">
      <w:r>
        <w:separator/>
      </w:r>
    </w:p>
  </w:endnote>
  <w:endnote w:type="continuationSeparator" w:id="0">
    <w:p w14:paraId="374768E6" w14:textId="77777777" w:rsidR="0017481B" w:rsidRDefault="001748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59FEC2F7" w14:textId="77777777" w:rsidR="00370CD6" w:rsidRDefault="00370CD6" w:rsidP="006F30F8">
    <w:pPr>
      <w:pStyle w:val="Piedepgina"/>
      <w:ind w:firstLine="708"/>
    </w:pPr>
  </w:p>
  <w:p w14:paraId="14A770F8" w14:textId="38596EDC" w:rsidR="006F30F8" w:rsidRPr="00370CD6" w:rsidRDefault="00370CD6" w:rsidP="00370CD6">
    <w:pPr>
      <w:tabs>
        <w:tab w:val="center" w:pos="4419"/>
        <w:tab w:val="right" w:pos="8838"/>
      </w:tabs>
      <w:jc w:val="right"/>
      <w:rPr>
        <w:rFonts w:ascii="Calibri" w:eastAsia="Calibri" w:hAnsi="Calibri"/>
        <w:sz w:val="22"/>
        <w:szCs w:val="22"/>
        <w:lang w:val="es-MX" w:eastAsia="en-US"/>
      </w:rPr>
    </w:pPr>
    <w:r w:rsidRPr="00370CD6">
      <w:rPr>
        <w:rFonts w:ascii="Arial" w:eastAsia="Calibri" w:hAnsi="Arial" w:cs="Arial"/>
        <w:b/>
        <w:bCs/>
        <w:sz w:val="20"/>
        <w:szCs w:val="20"/>
      </w:rPr>
      <w:t xml:space="preserve">Página </w:t>
    </w:r>
    <w:r w:rsidRPr="00370CD6">
      <w:rPr>
        <w:rFonts w:ascii="Arial" w:eastAsia="Calibri" w:hAnsi="Arial" w:cs="Arial"/>
        <w:b/>
        <w:bCs/>
        <w:sz w:val="20"/>
        <w:szCs w:val="20"/>
      </w:rPr>
      <w:fldChar w:fldCharType="begin"/>
    </w:r>
    <w:r w:rsidRPr="00370CD6">
      <w:rPr>
        <w:rFonts w:ascii="Arial" w:eastAsia="Calibri" w:hAnsi="Arial" w:cs="Arial"/>
        <w:b/>
        <w:bCs/>
        <w:sz w:val="20"/>
        <w:szCs w:val="20"/>
      </w:rPr>
      <w:instrText>PAGE</w:instrText>
    </w:r>
    <w:r w:rsidRPr="00370CD6">
      <w:rPr>
        <w:rFonts w:ascii="Arial" w:eastAsia="Calibri" w:hAnsi="Arial" w:cs="Arial"/>
        <w:b/>
        <w:bCs/>
        <w:sz w:val="20"/>
        <w:szCs w:val="20"/>
      </w:rPr>
      <w:fldChar w:fldCharType="separate"/>
    </w:r>
    <w:r w:rsidR="00974483">
      <w:rPr>
        <w:rFonts w:ascii="Arial" w:eastAsia="Calibri" w:hAnsi="Arial" w:cs="Arial"/>
        <w:b/>
        <w:bCs/>
        <w:noProof/>
        <w:sz w:val="20"/>
        <w:szCs w:val="20"/>
      </w:rPr>
      <w:t>5</w:t>
    </w:r>
    <w:r w:rsidRPr="00370CD6">
      <w:rPr>
        <w:rFonts w:ascii="Arial" w:eastAsia="Calibri" w:hAnsi="Arial" w:cs="Arial"/>
        <w:b/>
        <w:bCs/>
        <w:sz w:val="20"/>
        <w:szCs w:val="20"/>
      </w:rPr>
      <w:fldChar w:fldCharType="end"/>
    </w:r>
    <w:r w:rsidRPr="00370CD6">
      <w:rPr>
        <w:rFonts w:ascii="Arial" w:eastAsia="Calibri" w:hAnsi="Arial" w:cs="Arial"/>
        <w:sz w:val="20"/>
        <w:szCs w:val="20"/>
      </w:rPr>
      <w:t xml:space="preserve"> de </w:t>
    </w:r>
    <w:r w:rsidRPr="00370CD6">
      <w:rPr>
        <w:rFonts w:ascii="Arial" w:eastAsia="Calibri" w:hAnsi="Arial" w:cs="Arial"/>
        <w:b/>
        <w:bCs/>
        <w:sz w:val="20"/>
        <w:szCs w:val="20"/>
      </w:rPr>
      <w:fldChar w:fldCharType="begin"/>
    </w:r>
    <w:r w:rsidRPr="00370CD6">
      <w:rPr>
        <w:rFonts w:ascii="Arial" w:eastAsia="Calibri" w:hAnsi="Arial" w:cs="Arial"/>
        <w:b/>
        <w:bCs/>
        <w:sz w:val="20"/>
        <w:szCs w:val="20"/>
      </w:rPr>
      <w:instrText>NUMPAGES</w:instrText>
    </w:r>
    <w:r w:rsidRPr="00370CD6">
      <w:rPr>
        <w:rFonts w:ascii="Arial" w:eastAsia="Calibri" w:hAnsi="Arial" w:cs="Arial"/>
        <w:b/>
        <w:bCs/>
        <w:sz w:val="20"/>
        <w:szCs w:val="20"/>
      </w:rPr>
      <w:fldChar w:fldCharType="separate"/>
    </w:r>
    <w:r w:rsidR="00974483">
      <w:rPr>
        <w:rFonts w:ascii="Arial" w:eastAsia="Calibri" w:hAnsi="Arial" w:cs="Arial"/>
        <w:b/>
        <w:bCs/>
        <w:noProof/>
        <w:sz w:val="20"/>
        <w:szCs w:val="20"/>
      </w:rPr>
      <w:t>5</w:t>
    </w:r>
    <w:r w:rsidRPr="00370CD6">
      <w:rPr>
        <w:rFonts w:ascii="Arial" w:eastAsia="Calibri"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31CA3" w14:textId="77777777" w:rsidR="0017481B" w:rsidRDefault="0017481B" w:rsidP="00C80F8C">
      <w:r>
        <w:separator/>
      </w:r>
    </w:p>
  </w:footnote>
  <w:footnote w:type="continuationSeparator" w:id="0">
    <w:p w14:paraId="2BD68661" w14:textId="77777777" w:rsidR="0017481B" w:rsidRDefault="0017481B" w:rsidP="00C80F8C">
      <w:r>
        <w:continuationSeparator/>
      </w:r>
    </w:p>
  </w:footnote>
  <w:footnote w:id="1">
    <w:p w14:paraId="47DC3AF8" w14:textId="06B79622" w:rsidR="00891156" w:rsidRPr="00891156" w:rsidRDefault="00891156" w:rsidP="00891156">
      <w:pPr>
        <w:ind w:right="49"/>
        <w:jc w:val="both"/>
        <w:rPr>
          <w:rFonts w:ascii="Palatino Linotype" w:hAnsi="Palatino Linotype" w:cs="Arial"/>
          <w:i/>
          <w:sz w:val="16"/>
          <w:szCs w:val="16"/>
        </w:rPr>
      </w:pPr>
      <w:r w:rsidRPr="00891156">
        <w:rPr>
          <w:rFonts w:ascii="Palatino Linotype" w:hAnsi="Palatino Linotype" w:cs="Arial"/>
          <w:i/>
          <w:sz w:val="16"/>
          <w:szCs w:val="16"/>
        </w:rPr>
        <w:footnoteRef/>
      </w:r>
      <w:r w:rsidRPr="00891156">
        <w:rPr>
          <w:rFonts w:ascii="Palatino Linotype" w:hAnsi="Palatino Linotype" w:cs="Arial"/>
          <w:i/>
          <w:sz w:val="16"/>
          <w:szCs w:val="16"/>
        </w:rPr>
        <w:t xml:space="preserve"> “Artículo 196. Los particulares podrán impugnar las determinaciones o resoluciones del Instituto ante el Instituto Nacional o el Poder Judicial de la Federación, conforme a lo previsto en la Ley General”(Sic)</w:t>
      </w:r>
    </w:p>
  </w:footnote>
  <w:footnote w:id="2">
    <w:p w14:paraId="403958F6" w14:textId="77777777" w:rsidR="00891156" w:rsidRDefault="00891156" w:rsidP="00891156">
      <w:pPr>
        <w:pStyle w:val="Textonotapie"/>
        <w:jc w:val="both"/>
        <w:rPr>
          <w:rFonts w:ascii="Palatino Linotype" w:hAnsi="Palatino Linotype"/>
          <w:i/>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Tesis Aislada de la Décima Época P. II/2017 (10a.) </w:t>
      </w:r>
      <w:r>
        <w:rPr>
          <w:rFonts w:ascii="Palatino Linotype" w:hAnsi="Palatino Linotype"/>
          <w:i/>
          <w:sz w:val="16"/>
          <w:szCs w:val="16"/>
        </w:rPr>
        <w:t xml:space="preserve">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w:t>
      </w:r>
      <w:proofErr w:type="spellStart"/>
      <w:r>
        <w:rPr>
          <w:rFonts w:ascii="Palatino Linotype" w:hAnsi="Palatino Linotype"/>
          <w:i/>
          <w:sz w:val="16"/>
          <w:szCs w:val="16"/>
        </w:rPr>
        <w:t>inconvencional</w:t>
      </w:r>
      <w:proofErr w:type="spellEnd"/>
      <w:r>
        <w:rPr>
          <w:rFonts w:ascii="Palatino Linotype" w:hAnsi="Palatino Linotype"/>
          <w:i/>
          <w:sz w:val="16"/>
          <w:szCs w:val="16"/>
        </w:rPr>
        <w:t xml:space="preserve">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w:t>
      </w:r>
      <w:proofErr w:type="spellStart"/>
      <w:r>
        <w:rPr>
          <w:rFonts w:ascii="Palatino Linotype" w:hAnsi="Palatino Linotype"/>
          <w:i/>
          <w:sz w:val="16"/>
          <w:szCs w:val="16"/>
        </w:rPr>
        <w:t>inconvencionalidad</w:t>
      </w:r>
      <w:proofErr w:type="spellEnd"/>
      <w:r>
        <w:rPr>
          <w:rFonts w:ascii="Palatino Linotype" w:hAnsi="Palatino Linotype"/>
          <w:i/>
          <w:sz w:val="16"/>
          <w:szCs w:val="16"/>
        </w:rPr>
        <w:t>;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 w:id="3">
    <w:p w14:paraId="3ED6107C" w14:textId="31D543BA" w:rsidR="00B02CB0" w:rsidRPr="00B02CB0" w:rsidRDefault="00B02CB0" w:rsidP="00B02CB0">
      <w:pPr>
        <w:pStyle w:val="Textonotapie"/>
        <w:jc w:val="both"/>
        <w:rPr>
          <w:rFonts w:ascii="Palatino Linotype" w:hAnsi="Palatino Linotype"/>
          <w:i/>
          <w:sz w:val="16"/>
          <w:szCs w:val="16"/>
        </w:rPr>
      </w:pPr>
      <w:r>
        <w:rPr>
          <w:rStyle w:val="Refdenotaalpie"/>
        </w:rPr>
        <w:footnoteRef/>
      </w:r>
      <w:r>
        <w:t xml:space="preserve"> </w:t>
      </w:r>
      <w:r w:rsidRPr="00B02CB0">
        <w:rPr>
          <w:rFonts w:ascii="Palatino Linotype" w:hAnsi="Palatino Linotype"/>
          <w:i/>
          <w:sz w:val="16"/>
          <w:szCs w:val="16"/>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w:t>
      </w:r>
      <w:r w:rsidR="006E55BA">
        <w:rPr>
          <w:rFonts w:ascii="Palatino Linotype" w:hAnsi="Palatino Linotype"/>
          <w:i/>
          <w:sz w:val="16"/>
          <w:szCs w:val="16"/>
        </w:rPr>
        <w:t xml:space="preserve">e esta Constitución establece. </w:t>
      </w:r>
      <w:r w:rsidRPr="00B02CB0">
        <w:rPr>
          <w:rFonts w:ascii="Palatino Linotype" w:hAnsi="Palatino Linotype"/>
          <w:i/>
          <w:sz w:val="16"/>
          <w:szCs w:val="16"/>
        </w:rPr>
        <w:t>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w:t>
      </w:r>
      <w:r w:rsidR="006E55BA">
        <w:rPr>
          <w:rFonts w:ascii="Palatino Linotype" w:hAnsi="Palatino Linotype"/>
          <w:i/>
          <w:sz w:val="16"/>
          <w:szCs w:val="16"/>
        </w:rPr>
        <w:t xml:space="preserve">érminos que establezca la ley. </w:t>
      </w:r>
      <w:r w:rsidRPr="00B02CB0">
        <w:rPr>
          <w:rFonts w:ascii="Palatino Linotype" w:hAnsi="Palatino Linotype"/>
          <w:i/>
          <w:sz w:val="16"/>
          <w:szCs w:val="16"/>
        </w:rPr>
        <w:t>Está prohibida la esclavitud en los Estados Unidos Mexicanos. Los esclavos del extranjero que entren al territorio nacional alcanzarán, por este solo hecho, su libertad</w:t>
      </w:r>
      <w:r w:rsidR="006E55BA">
        <w:rPr>
          <w:rFonts w:ascii="Palatino Linotype" w:hAnsi="Palatino Linotype"/>
          <w:i/>
          <w:sz w:val="16"/>
          <w:szCs w:val="16"/>
        </w:rPr>
        <w:t xml:space="preserve"> y la protección de las leyes. </w:t>
      </w:r>
      <w:r w:rsidRPr="00B02CB0">
        <w:rPr>
          <w:rFonts w:ascii="Palatino Linotype" w:hAnsi="Palatino Linotype"/>
          <w:i/>
          <w:sz w:val="16"/>
          <w:szCs w:val="16"/>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5C7E868E" w:rsidR="00634485" w:rsidRPr="00A81140" w:rsidRDefault="00974483" w:rsidP="00C80F8C">
    <w:pPr>
      <w:pStyle w:val="Encabezado"/>
      <w:tabs>
        <w:tab w:val="clear" w:pos="4252"/>
        <w:tab w:val="clear" w:pos="8504"/>
        <w:tab w:val="left" w:pos="2326"/>
      </w:tabs>
      <w:rPr>
        <w:rFonts w:ascii="Palatino Linotype" w:hAnsi="Palatino Linotype"/>
      </w:rPr>
    </w:pPr>
    <w:sdt>
      <w:sdtPr>
        <w:rPr>
          <w:rFonts w:ascii="Palatino Linotype" w:hAnsi="Palatino Linotype"/>
        </w:rPr>
        <w:id w:val="-1801365915"/>
        <w:docPartObj>
          <w:docPartGallery w:val="Watermarks"/>
          <w:docPartUnique/>
        </w:docPartObj>
      </w:sdtPr>
      <w:sdtEndPr/>
      <w:sdtContent>
        <w:r>
          <w:rPr>
            <w:rFonts w:ascii="Palatino Linotype" w:hAnsi="Palatino Linotype"/>
          </w:rPr>
          <w:pict w14:anchorId="24FF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578.85pt;height:124pt;rotation:315;z-index:-25165824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B53290">
      <w:rPr>
        <w:rFonts w:ascii="Palatino Linotype" w:hAnsi="Palatino Linotype"/>
        <w:noProof/>
        <w:lang w:val="es-MX" w:eastAsia="es-MX"/>
      </w:rPr>
      <w:drawing>
        <wp:anchor distT="0" distB="0" distL="114300" distR="114300" simplePos="0" relativeHeight="251657216"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BC213F2" w14:textId="3A79E98E" w:rsidR="00F42A73" w:rsidRPr="00C51F7E" w:rsidRDefault="001928EC" w:rsidP="00F42A73">
    <w:pPr>
      <w:pStyle w:val="Encabezado"/>
      <w:jc w:val="right"/>
      <w:rPr>
        <w:rFonts w:ascii="Palatino Linotype" w:hAnsi="Palatino Linotype"/>
      </w:rPr>
    </w:pPr>
    <w:r>
      <w:rPr>
        <w:rFonts w:ascii="Palatino Linotype" w:hAnsi="Palatino Linotype"/>
      </w:rPr>
      <w:t>VOTO</w:t>
    </w:r>
    <w:r w:rsidR="00F42A73" w:rsidRPr="00885E74">
      <w:rPr>
        <w:rFonts w:ascii="Palatino Linotype" w:hAnsi="Palatino Linotype"/>
      </w:rPr>
      <w:t xml:space="preserve"> </w:t>
    </w:r>
    <w:r w:rsidR="00F42A73" w:rsidRPr="00C51F7E">
      <w:rPr>
        <w:rFonts w:ascii="Palatino Linotype" w:hAnsi="Palatino Linotype"/>
      </w:rPr>
      <w:t xml:space="preserve">PARTICULAR </w:t>
    </w:r>
  </w:p>
  <w:p w14:paraId="5DDEC23F" w14:textId="77777777" w:rsidR="008A4473" w:rsidRDefault="00F42A73" w:rsidP="00F42A73">
    <w:pPr>
      <w:pStyle w:val="Encabezado"/>
      <w:jc w:val="right"/>
      <w:rPr>
        <w:rFonts w:ascii="Palatino Linotype" w:hAnsi="Palatino Linotype" w:cs="Arial"/>
        <w:bCs/>
        <w:lang w:eastAsia="es-MX"/>
      </w:rPr>
    </w:pPr>
    <w:r w:rsidRPr="00C51F7E">
      <w:rPr>
        <w:rFonts w:ascii="Palatino Linotype" w:hAnsi="Palatino Linotype"/>
      </w:rPr>
      <w:t xml:space="preserve">RECURSO DE REVISIÓN </w:t>
    </w:r>
    <w:r w:rsidR="000103F8">
      <w:rPr>
        <w:rFonts w:ascii="Palatino Linotype" w:hAnsi="Palatino Linotype" w:cs="Arial"/>
        <w:bCs/>
        <w:lang w:eastAsia="es-MX"/>
      </w:rPr>
      <w:t>0</w:t>
    </w:r>
    <w:r w:rsidR="008A4473">
      <w:rPr>
        <w:rFonts w:ascii="Palatino Linotype" w:hAnsi="Palatino Linotype" w:cs="Arial"/>
        <w:bCs/>
        <w:lang w:eastAsia="es-MX"/>
      </w:rPr>
      <w:t>3322</w:t>
    </w:r>
    <w:r w:rsidR="00267C5C">
      <w:rPr>
        <w:rFonts w:ascii="Palatino Linotype" w:hAnsi="Palatino Linotype" w:cs="Arial"/>
        <w:bCs/>
        <w:lang w:eastAsia="es-MX"/>
      </w:rPr>
      <w:t>/INFOEM/IP/RR/2017</w:t>
    </w:r>
    <w:r w:rsidR="008A4473">
      <w:rPr>
        <w:rFonts w:ascii="Palatino Linotype" w:hAnsi="Palatino Linotype" w:cs="Arial"/>
        <w:bCs/>
        <w:lang w:eastAsia="es-MX"/>
      </w:rPr>
      <w:t xml:space="preserve"> Y</w:t>
    </w:r>
  </w:p>
  <w:p w14:paraId="2F83D6AC" w14:textId="2C3AB8C1" w:rsidR="00F42A73" w:rsidRDefault="008A4473" w:rsidP="00F42A73">
    <w:pPr>
      <w:pStyle w:val="Encabezado"/>
      <w:jc w:val="right"/>
      <w:rPr>
        <w:rFonts w:ascii="Palatino Linotype" w:hAnsi="Palatino Linotype"/>
      </w:rPr>
    </w:pPr>
    <w:r>
      <w:rPr>
        <w:rFonts w:ascii="Palatino Linotype" w:hAnsi="Palatino Linotype" w:cs="Arial"/>
        <w:bCs/>
        <w:lang w:eastAsia="es-MX"/>
      </w:rPr>
      <w:t>ACUMULADOS</w:t>
    </w:r>
    <w:r w:rsidR="00910E6C">
      <w:rPr>
        <w:rFonts w:ascii="Palatino Linotype" w:hAnsi="Palatino Linotype" w:cs="Arial"/>
        <w:bCs/>
        <w:lang w:eastAsia="es-MX"/>
      </w:rPr>
      <w:t xml:space="preserve"> </w:t>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5">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65C7"/>
    <w:rsid w:val="00016EE5"/>
    <w:rsid w:val="00020108"/>
    <w:rsid w:val="000244D4"/>
    <w:rsid w:val="000252A3"/>
    <w:rsid w:val="00027543"/>
    <w:rsid w:val="000314C4"/>
    <w:rsid w:val="00041820"/>
    <w:rsid w:val="0004288C"/>
    <w:rsid w:val="00046740"/>
    <w:rsid w:val="000508AA"/>
    <w:rsid w:val="00053278"/>
    <w:rsid w:val="00053B84"/>
    <w:rsid w:val="000838C6"/>
    <w:rsid w:val="000840BE"/>
    <w:rsid w:val="0008477C"/>
    <w:rsid w:val="0008542A"/>
    <w:rsid w:val="000868F5"/>
    <w:rsid w:val="000879B4"/>
    <w:rsid w:val="000B0067"/>
    <w:rsid w:val="000B1E6A"/>
    <w:rsid w:val="000B36E9"/>
    <w:rsid w:val="000B3FFD"/>
    <w:rsid w:val="000B5C40"/>
    <w:rsid w:val="000C4453"/>
    <w:rsid w:val="000D626E"/>
    <w:rsid w:val="000D710B"/>
    <w:rsid w:val="000E76A6"/>
    <w:rsid w:val="0010019B"/>
    <w:rsid w:val="00105DA8"/>
    <w:rsid w:val="00110A70"/>
    <w:rsid w:val="00110FE1"/>
    <w:rsid w:val="0011251D"/>
    <w:rsid w:val="001179A8"/>
    <w:rsid w:val="0012278D"/>
    <w:rsid w:val="0012436A"/>
    <w:rsid w:val="001352AD"/>
    <w:rsid w:val="00136413"/>
    <w:rsid w:val="00143E74"/>
    <w:rsid w:val="00145629"/>
    <w:rsid w:val="00156361"/>
    <w:rsid w:val="00162EE0"/>
    <w:rsid w:val="001665B5"/>
    <w:rsid w:val="001706D8"/>
    <w:rsid w:val="00172DF5"/>
    <w:rsid w:val="00174717"/>
    <w:rsid w:val="0017481B"/>
    <w:rsid w:val="00181E7B"/>
    <w:rsid w:val="00185575"/>
    <w:rsid w:val="001928EC"/>
    <w:rsid w:val="001B3177"/>
    <w:rsid w:val="001C2318"/>
    <w:rsid w:val="001C2489"/>
    <w:rsid w:val="001C62FB"/>
    <w:rsid w:val="001D2872"/>
    <w:rsid w:val="001D3EA3"/>
    <w:rsid w:val="001D5AEB"/>
    <w:rsid w:val="001D5D6B"/>
    <w:rsid w:val="001D7791"/>
    <w:rsid w:val="001E6F45"/>
    <w:rsid w:val="001F46C2"/>
    <w:rsid w:val="001F5CA0"/>
    <w:rsid w:val="00206D85"/>
    <w:rsid w:val="002119E7"/>
    <w:rsid w:val="00214282"/>
    <w:rsid w:val="00214AA1"/>
    <w:rsid w:val="00222980"/>
    <w:rsid w:val="00223A0E"/>
    <w:rsid w:val="00224532"/>
    <w:rsid w:val="00224CE2"/>
    <w:rsid w:val="00225AF8"/>
    <w:rsid w:val="00230C89"/>
    <w:rsid w:val="00242224"/>
    <w:rsid w:val="00246378"/>
    <w:rsid w:val="00264F22"/>
    <w:rsid w:val="0026560C"/>
    <w:rsid w:val="00267C5C"/>
    <w:rsid w:val="002731A7"/>
    <w:rsid w:val="002A1C5F"/>
    <w:rsid w:val="002A2F7E"/>
    <w:rsid w:val="002A353B"/>
    <w:rsid w:val="002A3DF8"/>
    <w:rsid w:val="002A5E42"/>
    <w:rsid w:val="002B6F74"/>
    <w:rsid w:val="002C7665"/>
    <w:rsid w:val="002D1549"/>
    <w:rsid w:val="002D56A8"/>
    <w:rsid w:val="002E0611"/>
    <w:rsid w:val="002E0EDE"/>
    <w:rsid w:val="002E5289"/>
    <w:rsid w:val="002F077A"/>
    <w:rsid w:val="002F1536"/>
    <w:rsid w:val="002F4FE5"/>
    <w:rsid w:val="002F52FC"/>
    <w:rsid w:val="002F627F"/>
    <w:rsid w:val="003023B7"/>
    <w:rsid w:val="00310936"/>
    <w:rsid w:val="0031287C"/>
    <w:rsid w:val="0031370C"/>
    <w:rsid w:val="00320CEE"/>
    <w:rsid w:val="00322791"/>
    <w:rsid w:val="003327E5"/>
    <w:rsid w:val="00336B3B"/>
    <w:rsid w:val="0034792A"/>
    <w:rsid w:val="0035024A"/>
    <w:rsid w:val="003520D1"/>
    <w:rsid w:val="00360A9E"/>
    <w:rsid w:val="0036344C"/>
    <w:rsid w:val="00365E6D"/>
    <w:rsid w:val="0036720F"/>
    <w:rsid w:val="00370CD6"/>
    <w:rsid w:val="00387B71"/>
    <w:rsid w:val="003929C8"/>
    <w:rsid w:val="00393DFF"/>
    <w:rsid w:val="00397F22"/>
    <w:rsid w:val="003A5932"/>
    <w:rsid w:val="003A6550"/>
    <w:rsid w:val="003B04D0"/>
    <w:rsid w:val="003B3487"/>
    <w:rsid w:val="003B7B45"/>
    <w:rsid w:val="003B7CBC"/>
    <w:rsid w:val="003C1A31"/>
    <w:rsid w:val="003C25BA"/>
    <w:rsid w:val="003D3640"/>
    <w:rsid w:val="003E15BB"/>
    <w:rsid w:val="003E2138"/>
    <w:rsid w:val="003E2904"/>
    <w:rsid w:val="003E3F1B"/>
    <w:rsid w:val="003F7550"/>
    <w:rsid w:val="00411BEF"/>
    <w:rsid w:val="004123E0"/>
    <w:rsid w:val="00415E47"/>
    <w:rsid w:val="00416752"/>
    <w:rsid w:val="00433DE7"/>
    <w:rsid w:val="00445E66"/>
    <w:rsid w:val="004461DC"/>
    <w:rsid w:val="00450C4A"/>
    <w:rsid w:val="0045210B"/>
    <w:rsid w:val="00457B04"/>
    <w:rsid w:val="004665B2"/>
    <w:rsid w:val="0047000B"/>
    <w:rsid w:val="004736EF"/>
    <w:rsid w:val="00474020"/>
    <w:rsid w:val="004938EB"/>
    <w:rsid w:val="00495B67"/>
    <w:rsid w:val="004A2128"/>
    <w:rsid w:val="004B471B"/>
    <w:rsid w:val="004B5A88"/>
    <w:rsid w:val="004C287E"/>
    <w:rsid w:val="004C691F"/>
    <w:rsid w:val="004D03CE"/>
    <w:rsid w:val="004D0A26"/>
    <w:rsid w:val="004D12BC"/>
    <w:rsid w:val="004D7534"/>
    <w:rsid w:val="004E6229"/>
    <w:rsid w:val="004F25ED"/>
    <w:rsid w:val="004F313C"/>
    <w:rsid w:val="004F3EAB"/>
    <w:rsid w:val="004F4FC6"/>
    <w:rsid w:val="00506B07"/>
    <w:rsid w:val="00515268"/>
    <w:rsid w:val="0051689B"/>
    <w:rsid w:val="00520D75"/>
    <w:rsid w:val="00534235"/>
    <w:rsid w:val="0053480A"/>
    <w:rsid w:val="00536192"/>
    <w:rsid w:val="00543BFC"/>
    <w:rsid w:val="00553A4E"/>
    <w:rsid w:val="00553E8C"/>
    <w:rsid w:val="0055728A"/>
    <w:rsid w:val="00560767"/>
    <w:rsid w:val="00561E48"/>
    <w:rsid w:val="00562D01"/>
    <w:rsid w:val="00564A90"/>
    <w:rsid w:val="00572399"/>
    <w:rsid w:val="005736C6"/>
    <w:rsid w:val="0057477C"/>
    <w:rsid w:val="00575235"/>
    <w:rsid w:val="005944F4"/>
    <w:rsid w:val="005A04EF"/>
    <w:rsid w:val="005A1ADF"/>
    <w:rsid w:val="005C3D2F"/>
    <w:rsid w:val="005D1946"/>
    <w:rsid w:val="005E0676"/>
    <w:rsid w:val="005E1100"/>
    <w:rsid w:val="005E59BE"/>
    <w:rsid w:val="005F1990"/>
    <w:rsid w:val="005F2A59"/>
    <w:rsid w:val="005F58B1"/>
    <w:rsid w:val="006044E0"/>
    <w:rsid w:val="00616F7F"/>
    <w:rsid w:val="00620FDF"/>
    <w:rsid w:val="006218DC"/>
    <w:rsid w:val="006232F2"/>
    <w:rsid w:val="00625866"/>
    <w:rsid w:val="0063126D"/>
    <w:rsid w:val="00632F12"/>
    <w:rsid w:val="00634485"/>
    <w:rsid w:val="00635601"/>
    <w:rsid w:val="00643A81"/>
    <w:rsid w:val="00650AC9"/>
    <w:rsid w:val="006527C6"/>
    <w:rsid w:val="0068304C"/>
    <w:rsid w:val="006841CD"/>
    <w:rsid w:val="00690859"/>
    <w:rsid w:val="00692923"/>
    <w:rsid w:val="006A14F0"/>
    <w:rsid w:val="006A4679"/>
    <w:rsid w:val="006A7B4E"/>
    <w:rsid w:val="006D47DB"/>
    <w:rsid w:val="006D6CA1"/>
    <w:rsid w:val="006D78EC"/>
    <w:rsid w:val="006E55BA"/>
    <w:rsid w:val="006E6389"/>
    <w:rsid w:val="006E7597"/>
    <w:rsid w:val="006F2FF6"/>
    <w:rsid w:val="006F30F8"/>
    <w:rsid w:val="006F35AF"/>
    <w:rsid w:val="006F4B28"/>
    <w:rsid w:val="00700C49"/>
    <w:rsid w:val="0070535D"/>
    <w:rsid w:val="00706F63"/>
    <w:rsid w:val="00710C9E"/>
    <w:rsid w:val="00717CA7"/>
    <w:rsid w:val="00731928"/>
    <w:rsid w:val="007337EF"/>
    <w:rsid w:val="00736C06"/>
    <w:rsid w:val="00737D20"/>
    <w:rsid w:val="00740B90"/>
    <w:rsid w:val="007425CB"/>
    <w:rsid w:val="007518C8"/>
    <w:rsid w:val="00753F2E"/>
    <w:rsid w:val="007614FF"/>
    <w:rsid w:val="007627EA"/>
    <w:rsid w:val="00766347"/>
    <w:rsid w:val="00766E4A"/>
    <w:rsid w:val="00772515"/>
    <w:rsid w:val="00783622"/>
    <w:rsid w:val="007867E1"/>
    <w:rsid w:val="00790FC4"/>
    <w:rsid w:val="007A3E6E"/>
    <w:rsid w:val="007A57AC"/>
    <w:rsid w:val="007A7C9A"/>
    <w:rsid w:val="007B68E6"/>
    <w:rsid w:val="007C2AA3"/>
    <w:rsid w:val="007D690D"/>
    <w:rsid w:val="007E4484"/>
    <w:rsid w:val="007E7FD2"/>
    <w:rsid w:val="007F288E"/>
    <w:rsid w:val="007F3153"/>
    <w:rsid w:val="008000D4"/>
    <w:rsid w:val="00803006"/>
    <w:rsid w:val="008071E6"/>
    <w:rsid w:val="00811C92"/>
    <w:rsid w:val="008127EE"/>
    <w:rsid w:val="00813388"/>
    <w:rsid w:val="00814254"/>
    <w:rsid w:val="0081574C"/>
    <w:rsid w:val="0081611A"/>
    <w:rsid w:val="0082281C"/>
    <w:rsid w:val="008273EF"/>
    <w:rsid w:val="00831DEC"/>
    <w:rsid w:val="00834C48"/>
    <w:rsid w:val="00845DA4"/>
    <w:rsid w:val="00847C65"/>
    <w:rsid w:val="0085746D"/>
    <w:rsid w:val="00863766"/>
    <w:rsid w:val="0088262E"/>
    <w:rsid w:val="008844F3"/>
    <w:rsid w:val="00885E74"/>
    <w:rsid w:val="00891156"/>
    <w:rsid w:val="008912DD"/>
    <w:rsid w:val="00892AFC"/>
    <w:rsid w:val="008A4473"/>
    <w:rsid w:val="008A7301"/>
    <w:rsid w:val="008A7B64"/>
    <w:rsid w:val="008C0B6B"/>
    <w:rsid w:val="008C35FC"/>
    <w:rsid w:val="008C7C8C"/>
    <w:rsid w:val="008C7D47"/>
    <w:rsid w:val="008D1526"/>
    <w:rsid w:val="008D4FFD"/>
    <w:rsid w:val="008F175D"/>
    <w:rsid w:val="008F27DC"/>
    <w:rsid w:val="008F54A9"/>
    <w:rsid w:val="008F6F33"/>
    <w:rsid w:val="0090405F"/>
    <w:rsid w:val="00905068"/>
    <w:rsid w:val="00910E6C"/>
    <w:rsid w:val="009239CD"/>
    <w:rsid w:val="00934418"/>
    <w:rsid w:val="00945179"/>
    <w:rsid w:val="00947E42"/>
    <w:rsid w:val="00957397"/>
    <w:rsid w:val="00972907"/>
    <w:rsid w:val="00974483"/>
    <w:rsid w:val="00975312"/>
    <w:rsid w:val="00975EB9"/>
    <w:rsid w:val="00992D8F"/>
    <w:rsid w:val="009A0DB8"/>
    <w:rsid w:val="009A3508"/>
    <w:rsid w:val="009C1772"/>
    <w:rsid w:val="009C5D86"/>
    <w:rsid w:val="009D0C13"/>
    <w:rsid w:val="009D3E62"/>
    <w:rsid w:val="009D4D96"/>
    <w:rsid w:val="009D60BD"/>
    <w:rsid w:val="009E780D"/>
    <w:rsid w:val="009F3BDC"/>
    <w:rsid w:val="009F4AC0"/>
    <w:rsid w:val="009F5290"/>
    <w:rsid w:val="00A02BDE"/>
    <w:rsid w:val="00A05C96"/>
    <w:rsid w:val="00A12C96"/>
    <w:rsid w:val="00A14869"/>
    <w:rsid w:val="00A1648C"/>
    <w:rsid w:val="00A166B1"/>
    <w:rsid w:val="00A323F3"/>
    <w:rsid w:val="00A33BE6"/>
    <w:rsid w:val="00A35F15"/>
    <w:rsid w:val="00A46E86"/>
    <w:rsid w:val="00A47380"/>
    <w:rsid w:val="00A47EAB"/>
    <w:rsid w:val="00A55065"/>
    <w:rsid w:val="00A648BC"/>
    <w:rsid w:val="00A71D9C"/>
    <w:rsid w:val="00A72606"/>
    <w:rsid w:val="00A81140"/>
    <w:rsid w:val="00A829F4"/>
    <w:rsid w:val="00A83C13"/>
    <w:rsid w:val="00A94689"/>
    <w:rsid w:val="00A95B5D"/>
    <w:rsid w:val="00AA3B03"/>
    <w:rsid w:val="00AA4D18"/>
    <w:rsid w:val="00AA62EE"/>
    <w:rsid w:val="00AB586E"/>
    <w:rsid w:val="00AC0E82"/>
    <w:rsid w:val="00AC5642"/>
    <w:rsid w:val="00AD65F6"/>
    <w:rsid w:val="00AD7D29"/>
    <w:rsid w:val="00AE1AFE"/>
    <w:rsid w:val="00AE3C93"/>
    <w:rsid w:val="00AE63C8"/>
    <w:rsid w:val="00B00154"/>
    <w:rsid w:val="00B02CB0"/>
    <w:rsid w:val="00B03BF8"/>
    <w:rsid w:val="00B337A5"/>
    <w:rsid w:val="00B352B3"/>
    <w:rsid w:val="00B53290"/>
    <w:rsid w:val="00B5380B"/>
    <w:rsid w:val="00B56FA8"/>
    <w:rsid w:val="00B62D27"/>
    <w:rsid w:val="00B72F71"/>
    <w:rsid w:val="00B73A65"/>
    <w:rsid w:val="00B74248"/>
    <w:rsid w:val="00B76599"/>
    <w:rsid w:val="00B94089"/>
    <w:rsid w:val="00B94599"/>
    <w:rsid w:val="00BA0EE2"/>
    <w:rsid w:val="00BA0F2E"/>
    <w:rsid w:val="00BA1166"/>
    <w:rsid w:val="00BA55D5"/>
    <w:rsid w:val="00BB0D58"/>
    <w:rsid w:val="00BB6390"/>
    <w:rsid w:val="00BB7295"/>
    <w:rsid w:val="00BC0E85"/>
    <w:rsid w:val="00BC424B"/>
    <w:rsid w:val="00BD7483"/>
    <w:rsid w:val="00BE3051"/>
    <w:rsid w:val="00BE4CFB"/>
    <w:rsid w:val="00BF033B"/>
    <w:rsid w:val="00BF271C"/>
    <w:rsid w:val="00BF4F5B"/>
    <w:rsid w:val="00C013A8"/>
    <w:rsid w:val="00C06EE2"/>
    <w:rsid w:val="00C1696D"/>
    <w:rsid w:val="00C22B6E"/>
    <w:rsid w:val="00C30CA2"/>
    <w:rsid w:val="00C32AD6"/>
    <w:rsid w:val="00C47343"/>
    <w:rsid w:val="00C53659"/>
    <w:rsid w:val="00C55313"/>
    <w:rsid w:val="00C558CB"/>
    <w:rsid w:val="00C650FE"/>
    <w:rsid w:val="00C66660"/>
    <w:rsid w:val="00C75B24"/>
    <w:rsid w:val="00C80F8C"/>
    <w:rsid w:val="00C83E0B"/>
    <w:rsid w:val="00C858CB"/>
    <w:rsid w:val="00C85AB0"/>
    <w:rsid w:val="00C9645E"/>
    <w:rsid w:val="00CA1CE5"/>
    <w:rsid w:val="00CA79EA"/>
    <w:rsid w:val="00CB1CA0"/>
    <w:rsid w:val="00CC4FED"/>
    <w:rsid w:val="00CF2DB3"/>
    <w:rsid w:val="00CF30E8"/>
    <w:rsid w:val="00D047E8"/>
    <w:rsid w:val="00D10859"/>
    <w:rsid w:val="00D21840"/>
    <w:rsid w:val="00D243C7"/>
    <w:rsid w:val="00D328BC"/>
    <w:rsid w:val="00D32EC7"/>
    <w:rsid w:val="00D33211"/>
    <w:rsid w:val="00D40599"/>
    <w:rsid w:val="00D412D8"/>
    <w:rsid w:val="00D528E5"/>
    <w:rsid w:val="00D52A18"/>
    <w:rsid w:val="00D57D0F"/>
    <w:rsid w:val="00D57FDF"/>
    <w:rsid w:val="00D64005"/>
    <w:rsid w:val="00D64B9A"/>
    <w:rsid w:val="00D651C7"/>
    <w:rsid w:val="00D759DE"/>
    <w:rsid w:val="00D861D8"/>
    <w:rsid w:val="00D9156F"/>
    <w:rsid w:val="00D9787F"/>
    <w:rsid w:val="00DA10B4"/>
    <w:rsid w:val="00DA1C65"/>
    <w:rsid w:val="00DA2388"/>
    <w:rsid w:val="00DA33F5"/>
    <w:rsid w:val="00DB564C"/>
    <w:rsid w:val="00DB6E06"/>
    <w:rsid w:val="00DC3BDE"/>
    <w:rsid w:val="00DC4ECF"/>
    <w:rsid w:val="00DC59FF"/>
    <w:rsid w:val="00DD0855"/>
    <w:rsid w:val="00DD2B64"/>
    <w:rsid w:val="00DD3171"/>
    <w:rsid w:val="00DD6036"/>
    <w:rsid w:val="00DE4624"/>
    <w:rsid w:val="00DF525B"/>
    <w:rsid w:val="00DF5DDA"/>
    <w:rsid w:val="00DF6486"/>
    <w:rsid w:val="00E03270"/>
    <w:rsid w:val="00E063F3"/>
    <w:rsid w:val="00E15B50"/>
    <w:rsid w:val="00E21594"/>
    <w:rsid w:val="00E22F41"/>
    <w:rsid w:val="00E247EC"/>
    <w:rsid w:val="00E310E8"/>
    <w:rsid w:val="00E317A6"/>
    <w:rsid w:val="00E319E1"/>
    <w:rsid w:val="00E34777"/>
    <w:rsid w:val="00E36E10"/>
    <w:rsid w:val="00E438E8"/>
    <w:rsid w:val="00E6172F"/>
    <w:rsid w:val="00E63612"/>
    <w:rsid w:val="00E64759"/>
    <w:rsid w:val="00E679CB"/>
    <w:rsid w:val="00E7360F"/>
    <w:rsid w:val="00E80821"/>
    <w:rsid w:val="00EA1FE3"/>
    <w:rsid w:val="00EA3BC3"/>
    <w:rsid w:val="00EA558B"/>
    <w:rsid w:val="00EB0254"/>
    <w:rsid w:val="00EB3186"/>
    <w:rsid w:val="00EB3659"/>
    <w:rsid w:val="00EB4F4F"/>
    <w:rsid w:val="00EC0343"/>
    <w:rsid w:val="00EC28FE"/>
    <w:rsid w:val="00EC3656"/>
    <w:rsid w:val="00EC473C"/>
    <w:rsid w:val="00ED1010"/>
    <w:rsid w:val="00ED51ED"/>
    <w:rsid w:val="00ED6338"/>
    <w:rsid w:val="00EE22C2"/>
    <w:rsid w:val="00EF008E"/>
    <w:rsid w:val="00EF2D47"/>
    <w:rsid w:val="00F109A8"/>
    <w:rsid w:val="00F10CF6"/>
    <w:rsid w:val="00F12C79"/>
    <w:rsid w:val="00F35CA3"/>
    <w:rsid w:val="00F3621D"/>
    <w:rsid w:val="00F40941"/>
    <w:rsid w:val="00F42A73"/>
    <w:rsid w:val="00F46492"/>
    <w:rsid w:val="00F55F16"/>
    <w:rsid w:val="00F55FE6"/>
    <w:rsid w:val="00F57F14"/>
    <w:rsid w:val="00F659A6"/>
    <w:rsid w:val="00F65F02"/>
    <w:rsid w:val="00F6770E"/>
    <w:rsid w:val="00F91891"/>
    <w:rsid w:val="00F91978"/>
    <w:rsid w:val="00F93BED"/>
    <w:rsid w:val="00FB3715"/>
    <w:rsid w:val="00FB48D6"/>
    <w:rsid w:val="00FC21AA"/>
    <w:rsid w:val="00FC72F9"/>
    <w:rsid w:val="00FD2C45"/>
    <w:rsid w:val="00FE527A"/>
    <w:rsid w:val="00FE7356"/>
    <w:rsid w:val="00FE77D5"/>
    <w:rsid w:val="00FF0612"/>
    <w:rsid w:val="00FF2050"/>
    <w:rsid w:val="00FF2135"/>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2A73"/>
    <w:rPr>
      <w:vertAlign w:val="superscript"/>
    </w:rPr>
  </w:style>
  <w:style w:type="paragraph" w:styleId="Prrafodelista">
    <w:name w:val="List Paragraph"/>
    <w:basedOn w:val="Normal"/>
    <w:link w:val="PrrafodelistaCar"/>
    <w:uiPriority w:val="34"/>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4461DC"/>
    <w:rPr>
      <w:color w:val="0000FF" w:themeColor="hyperlink"/>
      <w:u w:val="single"/>
    </w:rPr>
  </w:style>
  <w:style w:type="character" w:customStyle="1" w:styleId="PrrafodelistaCar">
    <w:name w:val="Párrafo de lista Car"/>
    <w:link w:val="Prrafodelista"/>
    <w:uiPriority w:val="34"/>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 w:id="464660167">
      <w:bodyDiv w:val="1"/>
      <w:marLeft w:val="0"/>
      <w:marRight w:val="0"/>
      <w:marTop w:val="0"/>
      <w:marBottom w:val="0"/>
      <w:divBdr>
        <w:top w:val="none" w:sz="0" w:space="0" w:color="auto"/>
        <w:left w:val="none" w:sz="0" w:space="0" w:color="auto"/>
        <w:bottom w:val="none" w:sz="0" w:space="0" w:color="auto"/>
        <w:right w:val="none" w:sz="0" w:space="0" w:color="auto"/>
      </w:divBdr>
    </w:div>
    <w:div w:id="800802850">
      <w:bodyDiv w:val="1"/>
      <w:marLeft w:val="0"/>
      <w:marRight w:val="0"/>
      <w:marTop w:val="0"/>
      <w:marBottom w:val="0"/>
      <w:divBdr>
        <w:top w:val="none" w:sz="0" w:space="0" w:color="auto"/>
        <w:left w:val="none" w:sz="0" w:space="0" w:color="auto"/>
        <w:bottom w:val="none" w:sz="0" w:space="0" w:color="auto"/>
        <w:right w:val="none" w:sz="0" w:space="0" w:color="auto"/>
      </w:divBdr>
    </w:div>
    <w:div w:id="1017734722">
      <w:bodyDiv w:val="1"/>
      <w:marLeft w:val="0"/>
      <w:marRight w:val="0"/>
      <w:marTop w:val="0"/>
      <w:marBottom w:val="0"/>
      <w:divBdr>
        <w:top w:val="none" w:sz="0" w:space="0" w:color="auto"/>
        <w:left w:val="none" w:sz="0" w:space="0" w:color="auto"/>
        <w:bottom w:val="none" w:sz="0" w:space="0" w:color="auto"/>
        <w:right w:val="none" w:sz="0" w:space="0" w:color="auto"/>
      </w:divBdr>
    </w:div>
    <w:div w:id="1814445071">
      <w:bodyDiv w:val="1"/>
      <w:marLeft w:val="0"/>
      <w:marRight w:val="0"/>
      <w:marTop w:val="0"/>
      <w:marBottom w:val="0"/>
      <w:divBdr>
        <w:top w:val="none" w:sz="0" w:space="0" w:color="auto"/>
        <w:left w:val="none" w:sz="0" w:space="0" w:color="auto"/>
        <w:bottom w:val="none" w:sz="0" w:space="0" w:color="auto"/>
        <w:right w:val="none" w:sz="0" w:space="0" w:color="auto"/>
      </w:divBdr>
    </w:div>
    <w:div w:id="1898471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D105C-80F5-4EFA-B4C8-A0535A56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4808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2018-11-12T21:17:00Z</cp:lastPrinted>
  <dcterms:created xsi:type="dcterms:W3CDTF">2019-01-24T00:34:00Z</dcterms:created>
  <dcterms:modified xsi:type="dcterms:W3CDTF">2019-01-24T00:34:00Z</dcterms:modified>
</cp:coreProperties>
</file>